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135DAD" w:rsidP="00A75AE8">
      <w:pPr>
        <w:tabs>
          <w:tab w:val="left" w:pos="142"/>
        </w:tabs>
        <w:jc w:val="center"/>
        <w:rPr>
          <w:rFonts w:ascii="Arial" w:hAnsi="Arial" w:cs="Arial"/>
          <w:sz w:val="24"/>
          <w:szCs w:val="24"/>
        </w:rPr>
      </w:pPr>
      <w:r>
        <w:rPr>
          <w:rFonts w:ascii="Arial" w:hAnsi="Arial" w:cs="Arial"/>
          <w:sz w:val="24"/>
          <w:szCs w:val="24"/>
        </w:rPr>
        <w:t>North Yorkshire and Humber</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proofErr w:type="spellStart"/>
      <w:r w:rsidR="007D1627">
        <w:rPr>
          <w:rFonts w:ascii="Arial" w:hAnsi="Arial" w:cs="Arial"/>
          <w:sz w:val="24"/>
          <w:szCs w:val="24"/>
        </w:rPr>
        <w:t>Hackness</w:t>
      </w:r>
      <w:proofErr w:type="spellEnd"/>
      <w:r w:rsidR="007D1627">
        <w:rPr>
          <w:rFonts w:ascii="Arial" w:hAnsi="Arial" w:cs="Arial"/>
          <w:sz w:val="24"/>
          <w:szCs w:val="24"/>
        </w:rPr>
        <w:t xml:space="preserve"> Road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7D1627">
        <w:rPr>
          <w:rFonts w:ascii="Arial" w:hAnsi="Arial" w:cs="Arial"/>
          <w:sz w:val="24"/>
          <w:szCs w:val="24"/>
        </w:rPr>
        <w:t>B82106</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7D1627">
        <w:rPr>
          <w:rFonts w:ascii="Arial" w:hAnsi="Arial" w:cs="Arial"/>
          <w:sz w:val="24"/>
          <w:szCs w:val="24"/>
        </w:rPr>
        <w:t>Dr Phil Jones</w:t>
      </w:r>
      <w:r w:rsidRPr="002649FE">
        <w:rPr>
          <w:rFonts w:ascii="Arial" w:hAnsi="Arial" w:cs="Arial"/>
          <w:sz w:val="24"/>
          <w:szCs w:val="24"/>
        </w:rPr>
        <w:t xml:space="preserve">           </w:t>
      </w:r>
      <w:r w:rsidRPr="002649FE">
        <w:rPr>
          <w:rFonts w:ascii="Arial" w:hAnsi="Arial" w:cs="Arial"/>
          <w:sz w:val="24"/>
          <w:szCs w:val="24"/>
        </w:rPr>
        <w:tab/>
      </w:r>
      <w:r w:rsidR="007D1627">
        <w:rPr>
          <w:rFonts w:ascii="Arial" w:hAnsi="Arial" w:cs="Arial"/>
          <w:sz w:val="24"/>
          <w:szCs w:val="24"/>
        </w:rPr>
        <w:t xml:space="preserve">                                                      </w:t>
      </w:r>
      <w:r w:rsidRPr="002649FE">
        <w:rPr>
          <w:rFonts w:ascii="Arial" w:hAnsi="Arial" w:cs="Arial"/>
          <w:sz w:val="24"/>
          <w:szCs w:val="24"/>
        </w:rPr>
        <w:t>Date:</w:t>
      </w:r>
      <w:r w:rsidR="007D1627">
        <w:rPr>
          <w:rFonts w:ascii="Arial" w:hAnsi="Arial" w:cs="Arial"/>
          <w:sz w:val="24"/>
          <w:szCs w:val="24"/>
        </w:rPr>
        <w:t xml:space="preserve"> 11/03/2015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7D1627">
        <w:rPr>
          <w:rFonts w:ascii="Arial" w:hAnsi="Arial" w:cs="Arial"/>
          <w:sz w:val="24"/>
          <w:szCs w:val="24"/>
        </w:rPr>
        <w:t xml:space="preserve">Mr TL </w:t>
      </w:r>
      <w:proofErr w:type="spellStart"/>
      <w:r w:rsidR="007D1627">
        <w:rPr>
          <w:rFonts w:ascii="Arial" w:hAnsi="Arial" w:cs="Arial"/>
          <w:sz w:val="24"/>
          <w:szCs w:val="24"/>
        </w:rPr>
        <w:t>Kirkup</w:t>
      </w:r>
      <w:proofErr w:type="spellEnd"/>
      <w:r w:rsidR="007D1627">
        <w:rPr>
          <w:rFonts w:ascii="Arial" w:hAnsi="Arial" w:cs="Arial"/>
          <w:sz w:val="24"/>
          <w:szCs w:val="24"/>
        </w:rPr>
        <w:t xml:space="preserve"> - Chair</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7D1627">
        <w:rPr>
          <w:rFonts w:ascii="Arial" w:hAnsi="Arial" w:cs="Arial"/>
          <w:sz w:val="24"/>
          <w:szCs w:val="24"/>
        </w:rPr>
        <w:t xml:space="preserve"> </w:t>
      </w:r>
      <w:r w:rsidR="008F6459">
        <w:rPr>
          <w:rFonts w:ascii="Arial" w:hAnsi="Arial" w:cs="Arial"/>
          <w:sz w:val="24"/>
          <w:szCs w:val="24"/>
        </w:rPr>
        <w:t>27</w:t>
      </w:r>
      <w:r w:rsidR="007D1627">
        <w:rPr>
          <w:rFonts w:ascii="Arial" w:hAnsi="Arial" w:cs="Arial"/>
          <w:sz w:val="24"/>
          <w:szCs w:val="24"/>
        </w:rPr>
        <w:t>/03/2015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262EFE">
            <w:pPr>
              <w:pStyle w:val="Default"/>
              <w:tabs>
                <w:tab w:val="left" w:pos="142"/>
              </w:tabs>
              <w:rPr>
                <w:rFonts w:ascii="Arial" w:hAnsi="Arial" w:cs="Arial"/>
                <w:b/>
                <w:sz w:val="24"/>
              </w:rPr>
            </w:pPr>
            <w:r w:rsidRPr="002649FE">
              <w:rPr>
                <w:rFonts w:ascii="Arial" w:hAnsi="Arial" w:cs="Arial"/>
                <w:color w:val="auto"/>
              </w:rPr>
              <w:t xml:space="preserve">Does the Practice have a PPG? </w:t>
            </w:r>
            <w:r w:rsidR="00B82D8E" w:rsidRPr="00B82D8E">
              <w:rPr>
                <w:rFonts w:ascii="Century Gothic" w:hAnsi="Century Gothic" w:cs="Arial"/>
                <w:color w:val="auto"/>
                <w:sz w:val="22"/>
                <w:szCs w:val="22"/>
              </w:rPr>
              <w:t xml:space="preserve">Yes </w:t>
            </w: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262EFE">
            <w:pPr>
              <w:pStyle w:val="Default"/>
              <w:tabs>
                <w:tab w:val="left" w:pos="142"/>
              </w:tabs>
              <w:rPr>
                <w:rFonts w:ascii="Arial" w:hAnsi="Arial" w:cs="Arial"/>
                <w:color w:val="auto"/>
              </w:rPr>
            </w:pPr>
            <w:r w:rsidRPr="002649FE">
              <w:rPr>
                <w:rFonts w:ascii="Arial" w:hAnsi="Arial" w:cs="Arial"/>
                <w:color w:val="auto"/>
              </w:rPr>
              <w:t xml:space="preserve">Method of engagement with PPG: Face to face, Email, Other </w:t>
            </w:r>
            <w:r w:rsidR="00DF6020">
              <w:rPr>
                <w:rFonts w:ascii="Arial" w:hAnsi="Arial" w:cs="Arial"/>
                <w:color w:val="auto"/>
              </w:rPr>
              <w:t xml:space="preserve">- </w:t>
            </w:r>
            <w:r w:rsidR="00931927" w:rsidRPr="00B82D8E">
              <w:rPr>
                <w:rFonts w:ascii="Century Gothic" w:hAnsi="Century Gothic" w:cs="Arial"/>
                <w:color w:val="auto"/>
                <w:sz w:val="22"/>
                <w:szCs w:val="22"/>
              </w:rPr>
              <w:t xml:space="preserve">Face to Face Meetings </w:t>
            </w:r>
            <w:r w:rsidR="00DF6020" w:rsidRPr="00B82D8E">
              <w:rPr>
                <w:rFonts w:ascii="Century Gothic" w:hAnsi="Century Gothic" w:cs="Arial"/>
                <w:color w:val="auto"/>
                <w:sz w:val="22"/>
                <w:szCs w:val="22"/>
              </w:rPr>
              <w:t xml:space="preserve">with PRG Members </w:t>
            </w:r>
            <w:r w:rsidR="00931927" w:rsidRPr="00B82D8E">
              <w:rPr>
                <w:rFonts w:ascii="Century Gothic" w:hAnsi="Century Gothic" w:cs="Arial"/>
                <w:color w:val="auto"/>
                <w:sz w:val="22"/>
                <w:szCs w:val="22"/>
              </w:rPr>
              <w:t xml:space="preserve">Quarterly &amp; </w:t>
            </w:r>
            <w:r w:rsidR="00DF6020" w:rsidRPr="00B82D8E">
              <w:rPr>
                <w:rFonts w:ascii="Century Gothic" w:hAnsi="Century Gothic" w:cs="Arial"/>
                <w:color w:val="auto"/>
                <w:sz w:val="22"/>
                <w:szCs w:val="22"/>
              </w:rPr>
              <w:t xml:space="preserve">via email with Virtual PRG </w:t>
            </w:r>
            <w:r w:rsidR="00931927" w:rsidRPr="00B82D8E">
              <w:rPr>
                <w:rFonts w:ascii="Century Gothic" w:hAnsi="Century Gothic" w:cs="Arial"/>
                <w:color w:val="auto"/>
                <w:sz w:val="22"/>
                <w:szCs w:val="22"/>
              </w:rPr>
              <w:t xml:space="preserve">periodically </w:t>
            </w:r>
            <w:r w:rsidR="00DF6020" w:rsidRPr="00B82D8E">
              <w:rPr>
                <w:rFonts w:ascii="Century Gothic" w:hAnsi="Century Gothic" w:cs="Arial"/>
                <w:color w:val="auto"/>
                <w:sz w:val="22"/>
                <w:szCs w:val="22"/>
              </w:rPr>
              <w:t>as</w:t>
            </w:r>
            <w:r w:rsidR="00931927" w:rsidRPr="00B82D8E">
              <w:rPr>
                <w:rFonts w:ascii="Century Gothic" w:hAnsi="Century Gothic" w:cs="Arial"/>
                <w:color w:val="auto"/>
                <w:sz w:val="22"/>
                <w:szCs w:val="22"/>
              </w:rPr>
              <w:t xml:space="preserve"> required</w:t>
            </w:r>
            <w:r w:rsidR="00DF6020" w:rsidRPr="00B82D8E">
              <w:rPr>
                <w:rFonts w:ascii="Century Gothic" w:hAnsi="Century Gothic" w:cs="Arial"/>
                <w:color w:val="auto"/>
                <w:sz w:val="22"/>
                <w:szCs w:val="22"/>
              </w:rPr>
              <w:t>.</w:t>
            </w: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262EFE">
            <w:pPr>
              <w:pStyle w:val="Default"/>
              <w:tabs>
                <w:tab w:val="left" w:pos="142"/>
              </w:tabs>
              <w:rPr>
                <w:rFonts w:ascii="Arial" w:hAnsi="Arial" w:cs="Arial"/>
              </w:rPr>
            </w:pPr>
            <w:r w:rsidRPr="002649FE">
              <w:rPr>
                <w:rFonts w:ascii="Arial" w:hAnsi="Arial" w:cs="Arial"/>
              </w:rPr>
              <w:t>Number of members of PPG:</w:t>
            </w:r>
            <w:r w:rsidR="00B82D8E">
              <w:rPr>
                <w:rFonts w:ascii="Arial" w:hAnsi="Arial" w:cs="Arial"/>
              </w:rPr>
              <w:t xml:space="preserve"> </w:t>
            </w:r>
            <w:r w:rsidR="00B82D8E" w:rsidRPr="00B82D8E">
              <w:rPr>
                <w:rFonts w:ascii="Century Gothic" w:hAnsi="Century Gothic" w:cs="Arial"/>
                <w:sz w:val="22"/>
                <w:szCs w:val="22"/>
              </w:rPr>
              <w:t>PRG Meetings Group</w:t>
            </w:r>
            <w:r w:rsidR="00931927" w:rsidRPr="00B82D8E">
              <w:rPr>
                <w:rFonts w:ascii="Century Gothic" w:hAnsi="Century Gothic" w:cs="Arial"/>
                <w:sz w:val="22"/>
                <w:szCs w:val="22"/>
              </w:rPr>
              <w:t>14</w:t>
            </w:r>
            <w:r w:rsidR="00DF6020" w:rsidRPr="00B82D8E">
              <w:rPr>
                <w:rFonts w:ascii="Century Gothic" w:hAnsi="Century Gothic" w:cs="Arial"/>
                <w:sz w:val="22"/>
                <w:szCs w:val="22"/>
              </w:rPr>
              <w:t>, Virtual PRG</w:t>
            </w:r>
            <w:r w:rsidR="00B82D8E" w:rsidRPr="00B82D8E">
              <w:rPr>
                <w:rFonts w:ascii="Century Gothic" w:hAnsi="Century Gothic" w:cs="Arial"/>
                <w:sz w:val="22"/>
                <w:szCs w:val="22"/>
              </w:rPr>
              <w:t xml:space="preserve"> 13</w:t>
            </w: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53"/>
              <w:gridCol w:w="1710"/>
              <w:gridCol w:w="1996"/>
            </w:tblGrid>
            <w:tr w:rsidR="00A75AE8" w:rsidRPr="002649FE" w:rsidTr="00B82D8E">
              <w:trPr>
                <w:trHeight w:val="262"/>
              </w:trPr>
              <w:tc>
                <w:tcPr>
                  <w:tcW w:w="185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10"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96"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B82D8E">
              <w:trPr>
                <w:trHeight w:val="262"/>
              </w:trPr>
              <w:tc>
                <w:tcPr>
                  <w:tcW w:w="185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10" w:type="dxa"/>
                </w:tcPr>
                <w:p w:rsidR="00A75AE8" w:rsidRPr="002649FE" w:rsidRDefault="00931927" w:rsidP="00A243E1">
                  <w:pPr>
                    <w:pStyle w:val="Default"/>
                    <w:tabs>
                      <w:tab w:val="left" w:pos="142"/>
                    </w:tabs>
                    <w:rPr>
                      <w:rFonts w:ascii="Arial" w:hAnsi="Arial" w:cs="Arial"/>
                    </w:rPr>
                  </w:pPr>
                  <w:r>
                    <w:rPr>
                      <w:rFonts w:ascii="Arial" w:hAnsi="Arial" w:cs="Arial"/>
                    </w:rPr>
                    <w:t>1567</w:t>
                  </w:r>
                </w:p>
              </w:tc>
              <w:tc>
                <w:tcPr>
                  <w:tcW w:w="1996" w:type="dxa"/>
                </w:tcPr>
                <w:p w:rsidR="00A75AE8" w:rsidRPr="002649FE" w:rsidRDefault="00931927" w:rsidP="00A243E1">
                  <w:pPr>
                    <w:pStyle w:val="Default"/>
                    <w:tabs>
                      <w:tab w:val="left" w:pos="142"/>
                    </w:tabs>
                    <w:rPr>
                      <w:rFonts w:ascii="Arial" w:hAnsi="Arial" w:cs="Arial"/>
                    </w:rPr>
                  </w:pPr>
                  <w:r>
                    <w:rPr>
                      <w:rFonts w:ascii="Arial" w:hAnsi="Arial" w:cs="Arial"/>
                    </w:rPr>
                    <w:t>1755</w:t>
                  </w:r>
                </w:p>
              </w:tc>
            </w:tr>
            <w:tr w:rsidR="00A75AE8" w:rsidRPr="002649FE" w:rsidTr="00B82D8E">
              <w:trPr>
                <w:trHeight w:val="280"/>
              </w:trPr>
              <w:tc>
                <w:tcPr>
                  <w:tcW w:w="185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10" w:type="dxa"/>
                </w:tcPr>
                <w:p w:rsidR="00A75AE8" w:rsidRPr="002649FE" w:rsidRDefault="000C6DB7" w:rsidP="00A243E1">
                  <w:pPr>
                    <w:pStyle w:val="Default"/>
                    <w:tabs>
                      <w:tab w:val="left" w:pos="142"/>
                    </w:tabs>
                    <w:rPr>
                      <w:rFonts w:ascii="Arial" w:hAnsi="Arial" w:cs="Arial"/>
                    </w:rPr>
                  </w:pPr>
                  <w:r>
                    <w:rPr>
                      <w:rFonts w:ascii="Arial" w:hAnsi="Arial" w:cs="Arial"/>
                    </w:rPr>
                    <w:t>9</w:t>
                  </w:r>
                </w:p>
              </w:tc>
              <w:tc>
                <w:tcPr>
                  <w:tcW w:w="1996" w:type="dxa"/>
                </w:tcPr>
                <w:p w:rsidR="00A75AE8" w:rsidRPr="002649FE" w:rsidRDefault="000C6DB7" w:rsidP="00A243E1">
                  <w:pPr>
                    <w:pStyle w:val="Default"/>
                    <w:tabs>
                      <w:tab w:val="left" w:pos="142"/>
                    </w:tabs>
                    <w:rPr>
                      <w:rFonts w:ascii="Arial" w:hAnsi="Arial" w:cs="Arial"/>
                    </w:rPr>
                  </w:pPr>
                  <w:r>
                    <w:rPr>
                      <w:rFonts w:ascii="Arial" w:hAnsi="Arial" w:cs="Arial"/>
                    </w:rPr>
                    <w:t>18</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7501" w:type="dxa"/>
              <w:tblLayout w:type="fixed"/>
              <w:tblLook w:val="04A0" w:firstRow="1" w:lastRow="0" w:firstColumn="1" w:lastColumn="0" w:noHBand="0" w:noVBand="1"/>
            </w:tblPr>
            <w:tblGrid>
              <w:gridCol w:w="1135"/>
              <w:gridCol w:w="692"/>
              <w:gridCol w:w="830"/>
              <w:gridCol w:w="831"/>
              <w:gridCol w:w="830"/>
              <w:gridCol w:w="831"/>
              <w:gridCol w:w="830"/>
              <w:gridCol w:w="831"/>
              <w:gridCol w:w="691"/>
            </w:tblGrid>
            <w:tr w:rsidR="00A75AE8" w:rsidRPr="002649FE" w:rsidTr="00B82D8E">
              <w:trPr>
                <w:trHeight w:val="199"/>
              </w:trPr>
              <w:tc>
                <w:tcPr>
                  <w:tcW w:w="1135"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692"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3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3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3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3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3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3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691"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B82D8E">
              <w:trPr>
                <w:trHeight w:val="273"/>
              </w:trPr>
              <w:tc>
                <w:tcPr>
                  <w:tcW w:w="1135" w:type="dxa"/>
                </w:tcPr>
                <w:p w:rsidR="00A75AE8" w:rsidRPr="002649FE" w:rsidRDefault="00A75AE8" w:rsidP="00B82D8E">
                  <w:pPr>
                    <w:pStyle w:val="Default"/>
                    <w:tabs>
                      <w:tab w:val="left" w:pos="142"/>
                    </w:tabs>
                    <w:rPr>
                      <w:rFonts w:ascii="Arial" w:hAnsi="Arial" w:cs="Arial"/>
                    </w:rPr>
                  </w:pPr>
                  <w:r w:rsidRPr="002649FE">
                    <w:rPr>
                      <w:rFonts w:ascii="Arial" w:hAnsi="Arial" w:cs="Arial"/>
                    </w:rPr>
                    <w:t>Practice</w:t>
                  </w:r>
                </w:p>
              </w:tc>
              <w:tc>
                <w:tcPr>
                  <w:tcW w:w="692" w:type="dxa"/>
                </w:tcPr>
                <w:p w:rsidR="00A75AE8" w:rsidRPr="002649FE" w:rsidRDefault="00931927" w:rsidP="00A243E1">
                  <w:pPr>
                    <w:pStyle w:val="Default"/>
                    <w:tabs>
                      <w:tab w:val="left" w:pos="142"/>
                    </w:tabs>
                    <w:rPr>
                      <w:rFonts w:ascii="Arial" w:hAnsi="Arial" w:cs="Arial"/>
                    </w:rPr>
                  </w:pPr>
                  <w:r>
                    <w:rPr>
                      <w:rFonts w:ascii="Arial" w:hAnsi="Arial" w:cs="Arial"/>
                    </w:rPr>
                    <w:t>522</w:t>
                  </w:r>
                </w:p>
              </w:tc>
              <w:tc>
                <w:tcPr>
                  <w:tcW w:w="830" w:type="dxa"/>
                </w:tcPr>
                <w:p w:rsidR="00A75AE8" w:rsidRPr="002649FE" w:rsidRDefault="00931927" w:rsidP="00A243E1">
                  <w:pPr>
                    <w:pStyle w:val="Default"/>
                    <w:tabs>
                      <w:tab w:val="left" w:pos="142"/>
                    </w:tabs>
                    <w:rPr>
                      <w:rFonts w:ascii="Arial" w:hAnsi="Arial" w:cs="Arial"/>
                    </w:rPr>
                  </w:pPr>
                  <w:r>
                    <w:rPr>
                      <w:rFonts w:ascii="Arial" w:hAnsi="Arial" w:cs="Arial"/>
                    </w:rPr>
                    <w:t>246</w:t>
                  </w:r>
                </w:p>
              </w:tc>
              <w:tc>
                <w:tcPr>
                  <w:tcW w:w="831" w:type="dxa"/>
                </w:tcPr>
                <w:p w:rsidR="00A75AE8" w:rsidRPr="002649FE" w:rsidRDefault="00931927" w:rsidP="00A243E1">
                  <w:pPr>
                    <w:pStyle w:val="Default"/>
                    <w:tabs>
                      <w:tab w:val="left" w:pos="142"/>
                    </w:tabs>
                    <w:rPr>
                      <w:rFonts w:ascii="Arial" w:hAnsi="Arial" w:cs="Arial"/>
                    </w:rPr>
                  </w:pPr>
                  <w:r>
                    <w:rPr>
                      <w:rFonts w:ascii="Arial" w:hAnsi="Arial" w:cs="Arial"/>
                    </w:rPr>
                    <w:t>290</w:t>
                  </w:r>
                </w:p>
              </w:tc>
              <w:tc>
                <w:tcPr>
                  <w:tcW w:w="830" w:type="dxa"/>
                </w:tcPr>
                <w:p w:rsidR="00A75AE8" w:rsidRPr="002649FE" w:rsidRDefault="00931927" w:rsidP="00A243E1">
                  <w:pPr>
                    <w:pStyle w:val="Default"/>
                    <w:tabs>
                      <w:tab w:val="left" w:pos="142"/>
                    </w:tabs>
                    <w:rPr>
                      <w:rFonts w:ascii="Arial" w:hAnsi="Arial" w:cs="Arial"/>
                    </w:rPr>
                  </w:pPr>
                  <w:r>
                    <w:rPr>
                      <w:rFonts w:ascii="Arial" w:hAnsi="Arial" w:cs="Arial"/>
                    </w:rPr>
                    <w:t>339</w:t>
                  </w:r>
                </w:p>
              </w:tc>
              <w:tc>
                <w:tcPr>
                  <w:tcW w:w="831" w:type="dxa"/>
                </w:tcPr>
                <w:p w:rsidR="00A75AE8" w:rsidRDefault="00931927" w:rsidP="00A243E1">
                  <w:pPr>
                    <w:pStyle w:val="Default"/>
                    <w:tabs>
                      <w:tab w:val="left" w:pos="142"/>
                    </w:tabs>
                    <w:rPr>
                      <w:rFonts w:ascii="Arial" w:hAnsi="Arial" w:cs="Arial"/>
                    </w:rPr>
                  </w:pPr>
                  <w:r>
                    <w:rPr>
                      <w:rFonts w:ascii="Arial" w:hAnsi="Arial" w:cs="Arial"/>
                    </w:rPr>
                    <w:t>444</w:t>
                  </w:r>
                </w:p>
                <w:p w:rsidR="00931927" w:rsidRPr="002649FE" w:rsidRDefault="00931927" w:rsidP="00A243E1">
                  <w:pPr>
                    <w:pStyle w:val="Default"/>
                    <w:tabs>
                      <w:tab w:val="left" w:pos="142"/>
                    </w:tabs>
                    <w:rPr>
                      <w:rFonts w:ascii="Arial" w:hAnsi="Arial" w:cs="Arial"/>
                    </w:rPr>
                  </w:pPr>
                </w:p>
              </w:tc>
              <w:tc>
                <w:tcPr>
                  <w:tcW w:w="830" w:type="dxa"/>
                </w:tcPr>
                <w:p w:rsidR="00A75AE8" w:rsidRPr="002649FE" w:rsidRDefault="00931927" w:rsidP="00A243E1">
                  <w:pPr>
                    <w:pStyle w:val="Default"/>
                    <w:tabs>
                      <w:tab w:val="left" w:pos="142"/>
                    </w:tabs>
                    <w:rPr>
                      <w:rFonts w:ascii="Arial" w:hAnsi="Arial" w:cs="Arial"/>
                    </w:rPr>
                  </w:pPr>
                  <w:r>
                    <w:rPr>
                      <w:rFonts w:ascii="Arial" w:hAnsi="Arial" w:cs="Arial"/>
                    </w:rPr>
                    <w:t>503</w:t>
                  </w:r>
                </w:p>
              </w:tc>
              <w:tc>
                <w:tcPr>
                  <w:tcW w:w="831" w:type="dxa"/>
                </w:tcPr>
                <w:p w:rsidR="00A75AE8" w:rsidRPr="002649FE" w:rsidRDefault="00931927" w:rsidP="00A243E1">
                  <w:pPr>
                    <w:pStyle w:val="Default"/>
                    <w:tabs>
                      <w:tab w:val="left" w:pos="142"/>
                    </w:tabs>
                    <w:rPr>
                      <w:rFonts w:ascii="Arial" w:hAnsi="Arial" w:cs="Arial"/>
                    </w:rPr>
                  </w:pPr>
                  <w:r>
                    <w:rPr>
                      <w:rFonts w:ascii="Arial" w:hAnsi="Arial" w:cs="Arial"/>
                    </w:rPr>
                    <w:t>513</w:t>
                  </w:r>
                </w:p>
              </w:tc>
              <w:tc>
                <w:tcPr>
                  <w:tcW w:w="691" w:type="dxa"/>
                </w:tcPr>
                <w:p w:rsidR="00A75AE8" w:rsidRPr="002649FE" w:rsidRDefault="00931927" w:rsidP="00A243E1">
                  <w:pPr>
                    <w:pStyle w:val="Default"/>
                    <w:tabs>
                      <w:tab w:val="left" w:pos="142"/>
                    </w:tabs>
                    <w:rPr>
                      <w:rFonts w:ascii="Arial" w:hAnsi="Arial" w:cs="Arial"/>
                    </w:rPr>
                  </w:pPr>
                  <w:r>
                    <w:rPr>
                      <w:rFonts w:ascii="Arial" w:hAnsi="Arial" w:cs="Arial"/>
                    </w:rPr>
                    <w:t>465</w:t>
                  </w:r>
                </w:p>
              </w:tc>
            </w:tr>
            <w:tr w:rsidR="00A75AE8" w:rsidRPr="002649FE" w:rsidTr="00B82D8E">
              <w:trPr>
                <w:trHeight w:val="412"/>
              </w:trPr>
              <w:tc>
                <w:tcPr>
                  <w:tcW w:w="113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692" w:type="dxa"/>
                </w:tcPr>
                <w:p w:rsidR="00A75AE8" w:rsidRPr="002649FE" w:rsidRDefault="000C6DB7" w:rsidP="00A243E1">
                  <w:pPr>
                    <w:pStyle w:val="Default"/>
                    <w:tabs>
                      <w:tab w:val="left" w:pos="142"/>
                    </w:tabs>
                    <w:rPr>
                      <w:rFonts w:ascii="Arial" w:hAnsi="Arial" w:cs="Arial"/>
                    </w:rPr>
                  </w:pPr>
                  <w:r>
                    <w:rPr>
                      <w:rFonts w:ascii="Arial" w:hAnsi="Arial" w:cs="Arial"/>
                    </w:rPr>
                    <w:t>0</w:t>
                  </w:r>
                </w:p>
              </w:tc>
              <w:tc>
                <w:tcPr>
                  <w:tcW w:w="830" w:type="dxa"/>
                </w:tcPr>
                <w:p w:rsidR="00A75AE8" w:rsidRPr="002649FE" w:rsidRDefault="000C6DB7" w:rsidP="00A243E1">
                  <w:pPr>
                    <w:pStyle w:val="Default"/>
                    <w:tabs>
                      <w:tab w:val="left" w:pos="142"/>
                    </w:tabs>
                    <w:rPr>
                      <w:rFonts w:ascii="Arial" w:hAnsi="Arial" w:cs="Arial"/>
                    </w:rPr>
                  </w:pPr>
                  <w:r>
                    <w:rPr>
                      <w:rFonts w:ascii="Arial" w:hAnsi="Arial" w:cs="Arial"/>
                    </w:rPr>
                    <w:t>1</w:t>
                  </w:r>
                </w:p>
              </w:tc>
              <w:tc>
                <w:tcPr>
                  <w:tcW w:w="831" w:type="dxa"/>
                </w:tcPr>
                <w:p w:rsidR="00A75AE8" w:rsidRPr="002649FE" w:rsidRDefault="000C6DB7" w:rsidP="00A243E1">
                  <w:pPr>
                    <w:pStyle w:val="Default"/>
                    <w:tabs>
                      <w:tab w:val="left" w:pos="142"/>
                    </w:tabs>
                    <w:rPr>
                      <w:rFonts w:ascii="Arial" w:hAnsi="Arial" w:cs="Arial"/>
                    </w:rPr>
                  </w:pPr>
                  <w:r>
                    <w:rPr>
                      <w:rFonts w:ascii="Arial" w:hAnsi="Arial" w:cs="Arial"/>
                    </w:rPr>
                    <w:t>1</w:t>
                  </w:r>
                </w:p>
              </w:tc>
              <w:tc>
                <w:tcPr>
                  <w:tcW w:w="830" w:type="dxa"/>
                </w:tcPr>
                <w:p w:rsidR="00A75AE8" w:rsidRPr="002649FE" w:rsidRDefault="00585596" w:rsidP="00A243E1">
                  <w:pPr>
                    <w:pStyle w:val="Default"/>
                    <w:tabs>
                      <w:tab w:val="left" w:pos="142"/>
                    </w:tabs>
                    <w:rPr>
                      <w:rFonts w:ascii="Arial" w:hAnsi="Arial" w:cs="Arial"/>
                    </w:rPr>
                  </w:pPr>
                  <w:r>
                    <w:rPr>
                      <w:rFonts w:ascii="Arial" w:hAnsi="Arial" w:cs="Arial"/>
                    </w:rPr>
                    <w:t>1</w:t>
                  </w:r>
                </w:p>
              </w:tc>
              <w:tc>
                <w:tcPr>
                  <w:tcW w:w="831" w:type="dxa"/>
                </w:tcPr>
                <w:p w:rsidR="00A75AE8" w:rsidRPr="002649FE" w:rsidRDefault="000C6DB7" w:rsidP="00A243E1">
                  <w:pPr>
                    <w:pStyle w:val="Default"/>
                    <w:tabs>
                      <w:tab w:val="left" w:pos="142"/>
                    </w:tabs>
                    <w:rPr>
                      <w:rFonts w:ascii="Arial" w:hAnsi="Arial" w:cs="Arial"/>
                    </w:rPr>
                  </w:pPr>
                  <w:r>
                    <w:rPr>
                      <w:rFonts w:ascii="Arial" w:hAnsi="Arial" w:cs="Arial"/>
                    </w:rPr>
                    <w:t>2</w:t>
                  </w:r>
                </w:p>
              </w:tc>
              <w:tc>
                <w:tcPr>
                  <w:tcW w:w="830" w:type="dxa"/>
                </w:tcPr>
                <w:p w:rsidR="00A75AE8" w:rsidRPr="002649FE" w:rsidRDefault="000C6DB7" w:rsidP="000C6DB7">
                  <w:pPr>
                    <w:pStyle w:val="Default"/>
                    <w:tabs>
                      <w:tab w:val="left" w:pos="142"/>
                    </w:tabs>
                    <w:rPr>
                      <w:rFonts w:ascii="Arial" w:hAnsi="Arial" w:cs="Arial"/>
                    </w:rPr>
                  </w:pPr>
                  <w:r>
                    <w:rPr>
                      <w:rFonts w:ascii="Arial" w:hAnsi="Arial" w:cs="Arial"/>
                    </w:rPr>
                    <w:t>7</w:t>
                  </w:r>
                </w:p>
              </w:tc>
              <w:tc>
                <w:tcPr>
                  <w:tcW w:w="831" w:type="dxa"/>
                </w:tcPr>
                <w:p w:rsidR="00A75AE8" w:rsidRPr="002649FE" w:rsidRDefault="000C6DB7" w:rsidP="00A243E1">
                  <w:pPr>
                    <w:pStyle w:val="Default"/>
                    <w:tabs>
                      <w:tab w:val="left" w:pos="142"/>
                    </w:tabs>
                    <w:rPr>
                      <w:rFonts w:ascii="Arial" w:hAnsi="Arial" w:cs="Arial"/>
                    </w:rPr>
                  </w:pPr>
                  <w:r>
                    <w:rPr>
                      <w:rFonts w:ascii="Arial" w:hAnsi="Arial" w:cs="Arial"/>
                    </w:rPr>
                    <w:t>12</w:t>
                  </w:r>
                </w:p>
              </w:tc>
              <w:tc>
                <w:tcPr>
                  <w:tcW w:w="691" w:type="dxa"/>
                </w:tcPr>
                <w:p w:rsidR="00A75AE8" w:rsidRDefault="000C6DB7" w:rsidP="00A243E1">
                  <w:pPr>
                    <w:pStyle w:val="Default"/>
                    <w:tabs>
                      <w:tab w:val="left" w:pos="142"/>
                    </w:tabs>
                    <w:rPr>
                      <w:rFonts w:ascii="Arial" w:hAnsi="Arial" w:cs="Arial"/>
                    </w:rPr>
                  </w:pPr>
                  <w:r>
                    <w:rPr>
                      <w:rFonts w:ascii="Arial" w:hAnsi="Arial" w:cs="Arial"/>
                    </w:rPr>
                    <w:t>3</w:t>
                  </w:r>
                </w:p>
                <w:p w:rsidR="00585596" w:rsidRPr="002649FE" w:rsidRDefault="00585596"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986681" w:rsidP="00A243E1">
                  <w:pPr>
                    <w:pStyle w:val="Default"/>
                    <w:tabs>
                      <w:tab w:val="left" w:pos="142"/>
                    </w:tabs>
                    <w:rPr>
                      <w:rFonts w:ascii="Arial" w:hAnsi="Arial" w:cs="Arial"/>
                      <w:color w:val="auto"/>
                    </w:rPr>
                  </w:pPr>
                  <w:r>
                    <w:rPr>
                      <w:rFonts w:ascii="Arial" w:hAnsi="Arial" w:cs="Arial"/>
                      <w:color w:val="auto"/>
                    </w:rPr>
                    <w:t>2752</w:t>
                  </w:r>
                </w:p>
              </w:tc>
              <w:tc>
                <w:tcPr>
                  <w:tcW w:w="851" w:type="dxa"/>
                </w:tcPr>
                <w:p w:rsidR="00A75AE8" w:rsidRPr="002649FE" w:rsidRDefault="00986681" w:rsidP="00A243E1">
                  <w:pPr>
                    <w:pStyle w:val="Default"/>
                    <w:tabs>
                      <w:tab w:val="left" w:pos="142"/>
                    </w:tabs>
                    <w:rPr>
                      <w:rFonts w:ascii="Arial" w:hAnsi="Arial" w:cs="Arial"/>
                      <w:color w:val="auto"/>
                    </w:rPr>
                  </w:pPr>
                  <w:r>
                    <w:rPr>
                      <w:rFonts w:ascii="Arial" w:hAnsi="Arial" w:cs="Arial"/>
                      <w:color w:val="auto"/>
                    </w:rPr>
                    <w:t>10</w:t>
                  </w:r>
                </w:p>
              </w:tc>
              <w:tc>
                <w:tcPr>
                  <w:tcW w:w="1452" w:type="dxa"/>
                </w:tcPr>
                <w:p w:rsidR="00A75AE8" w:rsidRPr="002649FE" w:rsidRDefault="00986681"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986681" w:rsidP="00A243E1">
                  <w:pPr>
                    <w:pStyle w:val="Default"/>
                    <w:tabs>
                      <w:tab w:val="left" w:pos="142"/>
                    </w:tabs>
                    <w:rPr>
                      <w:rFonts w:ascii="Arial" w:hAnsi="Arial" w:cs="Arial"/>
                      <w:color w:val="auto"/>
                    </w:rPr>
                  </w:pPr>
                  <w:r>
                    <w:rPr>
                      <w:rFonts w:ascii="Arial" w:hAnsi="Arial" w:cs="Arial"/>
                      <w:color w:val="auto"/>
                    </w:rPr>
                    <w:t>5</w:t>
                  </w:r>
                  <w:r w:rsidR="0049110D">
                    <w:rPr>
                      <w:rFonts w:ascii="Arial" w:hAnsi="Arial" w:cs="Arial"/>
                      <w:color w:val="auto"/>
                    </w:rPr>
                    <w:t>8</w:t>
                  </w:r>
                </w:p>
              </w:tc>
              <w:tc>
                <w:tcPr>
                  <w:tcW w:w="1418" w:type="dxa"/>
                </w:tcPr>
                <w:p w:rsidR="00A75AE8" w:rsidRPr="002649FE" w:rsidRDefault="00986681" w:rsidP="00A243E1">
                  <w:pPr>
                    <w:pStyle w:val="Default"/>
                    <w:tabs>
                      <w:tab w:val="left" w:pos="142"/>
                    </w:tabs>
                    <w:rPr>
                      <w:rFonts w:ascii="Arial" w:hAnsi="Arial" w:cs="Arial"/>
                      <w:color w:val="auto"/>
                    </w:rPr>
                  </w:pPr>
                  <w:r>
                    <w:rPr>
                      <w:rFonts w:ascii="Arial" w:hAnsi="Arial" w:cs="Arial"/>
                      <w:color w:val="auto"/>
                    </w:rPr>
                    <w:t>2</w:t>
                  </w:r>
                </w:p>
              </w:tc>
              <w:tc>
                <w:tcPr>
                  <w:tcW w:w="1843" w:type="dxa"/>
                </w:tcPr>
                <w:p w:rsidR="00A75AE8" w:rsidRPr="002649FE" w:rsidRDefault="00986681" w:rsidP="00A243E1">
                  <w:pPr>
                    <w:pStyle w:val="Default"/>
                    <w:tabs>
                      <w:tab w:val="left" w:pos="142"/>
                    </w:tabs>
                    <w:rPr>
                      <w:rFonts w:ascii="Arial" w:hAnsi="Arial" w:cs="Arial"/>
                      <w:color w:val="auto"/>
                    </w:rPr>
                  </w:pPr>
                  <w:r>
                    <w:rPr>
                      <w:rFonts w:ascii="Arial" w:hAnsi="Arial" w:cs="Arial"/>
                      <w:color w:val="auto"/>
                    </w:rPr>
                    <w:t>7</w:t>
                  </w:r>
                </w:p>
              </w:tc>
              <w:tc>
                <w:tcPr>
                  <w:tcW w:w="992" w:type="dxa"/>
                </w:tcPr>
                <w:p w:rsidR="00A75AE8" w:rsidRPr="002649FE" w:rsidRDefault="00986681" w:rsidP="00A243E1">
                  <w:pPr>
                    <w:pStyle w:val="Default"/>
                    <w:tabs>
                      <w:tab w:val="left" w:pos="142"/>
                    </w:tabs>
                    <w:rPr>
                      <w:rFonts w:ascii="Arial" w:hAnsi="Arial" w:cs="Arial"/>
                      <w:color w:val="auto"/>
                    </w:rPr>
                  </w:pPr>
                  <w:r>
                    <w:rPr>
                      <w:rFonts w:ascii="Arial" w:hAnsi="Arial" w:cs="Arial"/>
                      <w:color w:val="auto"/>
                    </w:rPr>
                    <w:t>6</w:t>
                  </w:r>
                </w:p>
              </w:tc>
              <w:tc>
                <w:tcPr>
                  <w:tcW w:w="992" w:type="dxa"/>
                </w:tcPr>
                <w:p w:rsidR="00A75AE8" w:rsidRPr="002649FE" w:rsidRDefault="00986681" w:rsidP="00A243E1">
                  <w:pPr>
                    <w:pStyle w:val="Default"/>
                    <w:tabs>
                      <w:tab w:val="left" w:pos="142"/>
                    </w:tabs>
                    <w:rPr>
                      <w:rFonts w:ascii="Arial" w:hAnsi="Arial" w:cs="Arial"/>
                      <w:color w:val="auto"/>
                    </w:rPr>
                  </w:pPr>
                  <w:r>
                    <w:rPr>
                      <w:rFonts w:ascii="Arial" w:hAnsi="Arial" w:cs="Arial"/>
                      <w:color w:val="auto"/>
                    </w:rPr>
                    <w:t>4</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DF6020" w:rsidP="00A243E1">
                  <w:pPr>
                    <w:pStyle w:val="Default"/>
                    <w:tabs>
                      <w:tab w:val="left" w:pos="142"/>
                    </w:tabs>
                    <w:rPr>
                      <w:rFonts w:ascii="Arial" w:hAnsi="Arial" w:cs="Arial"/>
                      <w:color w:val="auto"/>
                    </w:rPr>
                  </w:pPr>
                  <w:r>
                    <w:rPr>
                      <w:rFonts w:ascii="Arial" w:hAnsi="Arial" w:cs="Arial"/>
                      <w:color w:val="auto"/>
                    </w:rPr>
                    <w:t>14</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986681" w:rsidP="00A243E1">
                  <w:pPr>
                    <w:pStyle w:val="Default"/>
                    <w:tabs>
                      <w:tab w:val="left" w:pos="142"/>
                    </w:tabs>
                    <w:rPr>
                      <w:rFonts w:ascii="Arial" w:hAnsi="Arial" w:cs="Arial"/>
                    </w:rPr>
                  </w:pPr>
                  <w:r>
                    <w:rPr>
                      <w:rFonts w:ascii="Arial" w:hAnsi="Arial" w:cs="Arial"/>
                    </w:rPr>
                    <w:t>17</w:t>
                  </w:r>
                </w:p>
              </w:tc>
              <w:tc>
                <w:tcPr>
                  <w:tcW w:w="1417" w:type="dxa"/>
                </w:tcPr>
                <w:p w:rsidR="00A75AE8" w:rsidRPr="002649FE" w:rsidRDefault="00986681" w:rsidP="00A243E1">
                  <w:pPr>
                    <w:pStyle w:val="Default"/>
                    <w:tabs>
                      <w:tab w:val="left" w:pos="142"/>
                    </w:tabs>
                    <w:rPr>
                      <w:rFonts w:ascii="Arial" w:hAnsi="Arial" w:cs="Arial"/>
                    </w:rPr>
                  </w:pPr>
                  <w:r>
                    <w:rPr>
                      <w:rFonts w:ascii="Arial" w:hAnsi="Arial" w:cs="Arial"/>
                    </w:rPr>
                    <w:t>18</w:t>
                  </w: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986681" w:rsidP="00A243E1">
                  <w:pPr>
                    <w:pStyle w:val="Default"/>
                    <w:tabs>
                      <w:tab w:val="left" w:pos="142"/>
                    </w:tabs>
                    <w:rPr>
                      <w:rFonts w:ascii="Arial" w:hAnsi="Arial" w:cs="Arial"/>
                      <w:color w:val="auto"/>
                    </w:rPr>
                  </w:pPr>
                  <w:r>
                    <w:rPr>
                      <w:rFonts w:ascii="Arial" w:hAnsi="Arial" w:cs="Arial"/>
                      <w:color w:val="auto"/>
                    </w:rPr>
                    <w:t>1</w:t>
                  </w:r>
                </w:p>
              </w:tc>
              <w:tc>
                <w:tcPr>
                  <w:tcW w:w="993" w:type="dxa"/>
                </w:tcPr>
                <w:p w:rsidR="00A75AE8" w:rsidRPr="002649FE" w:rsidRDefault="00986681" w:rsidP="00A243E1">
                  <w:pPr>
                    <w:pStyle w:val="Default"/>
                    <w:tabs>
                      <w:tab w:val="left" w:pos="142"/>
                    </w:tabs>
                    <w:rPr>
                      <w:rFonts w:ascii="Arial" w:hAnsi="Arial" w:cs="Arial"/>
                      <w:color w:val="auto"/>
                    </w:rPr>
                  </w:pPr>
                  <w:r>
                    <w:rPr>
                      <w:rFonts w:ascii="Arial" w:hAnsi="Arial" w:cs="Arial"/>
                      <w:color w:val="auto"/>
                    </w:rPr>
                    <w:t>9</w:t>
                  </w:r>
                </w:p>
              </w:tc>
              <w:tc>
                <w:tcPr>
                  <w:tcW w:w="1134" w:type="dxa"/>
                </w:tcPr>
                <w:p w:rsidR="00A75AE8" w:rsidRPr="002649FE" w:rsidRDefault="00986681" w:rsidP="00A243E1">
                  <w:pPr>
                    <w:pStyle w:val="Default"/>
                    <w:tabs>
                      <w:tab w:val="left" w:pos="142"/>
                    </w:tabs>
                    <w:rPr>
                      <w:rFonts w:ascii="Arial" w:hAnsi="Arial" w:cs="Arial"/>
                      <w:color w:val="auto"/>
                    </w:rPr>
                  </w:pPr>
                  <w:r>
                    <w:rPr>
                      <w:rFonts w:ascii="Arial" w:hAnsi="Arial" w:cs="Arial"/>
                      <w:color w:val="auto"/>
                    </w:rPr>
                    <w:t>5</w:t>
                  </w:r>
                </w:p>
              </w:tc>
              <w:tc>
                <w:tcPr>
                  <w:tcW w:w="1417" w:type="dxa"/>
                </w:tcPr>
                <w:p w:rsidR="00A75AE8" w:rsidRPr="002649FE" w:rsidRDefault="00986681"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986681" w:rsidP="00A243E1">
                  <w:pPr>
                    <w:pStyle w:val="Default"/>
                    <w:tabs>
                      <w:tab w:val="left" w:pos="142"/>
                    </w:tabs>
                    <w:rPr>
                      <w:rFonts w:ascii="Arial" w:hAnsi="Arial" w:cs="Arial"/>
                      <w:color w:val="auto"/>
                    </w:rPr>
                  </w:pPr>
                  <w:r>
                    <w:rPr>
                      <w:rFonts w:ascii="Arial" w:hAnsi="Arial" w:cs="Arial"/>
                      <w:color w:val="auto"/>
                    </w:rPr>
                    <w:t>2</w:t>
                  </w:r>
                </w:p>
              </w:tc>
              <w:tc>
                <w:tcPr>
                  <w:tcW w:w="851" w:type="dxa"/>
                </w:tcPr>
                <w:p w:rsidR="00A75AE8" w:rsidRPr="002649FE" w:rsidRDefault="00986681" w:rsidP="00A243E1">
                  <w:pPr>
                    <w:pStyle w:val="Default"/>
                    <w:tabs>
                      <w:tab w:val="left" w:pos="142"/>
                    </w:tabs>
                    <w:rPr>
                      <w:rFonts w:ascii="Arial" w:hAnsi="Arial" w:cs="Arial"/>
                      <w:color w:val="auto"/>
                    </w:rPr>
                  </w:pPr>
                  <w:r>
                    <w:rPr>
                      <w:rFonts w:ascii="Arial" w:hAnsi="Arial" w:cs="Arial"/>
                      <w:color w:val="auto"/>
                    </w:rPr>
                    <w:t>1</w:t>
                  </w:r>
                </w:p>
              </w:tc>
              <w:tc>
                <w:tcPr>
                  <w:tcW w:w="850" w:type="dxa"/>
                </w:tcPr>
                <w:p w:rsidR="00A75AE8" w:rsidRPr="002649FE" w:rsidRDefault="00986681" w:rsidP="00A243E1">
                  <w:pPr>
                    <w:pStyle w:val="Default"/>
                    <w:tabs>
                      <w:tab w:val="left" w:pos="142"/>
                    </w:tabs>
                    <w:rPr>
                      <w:rFonts w:ascii="Arial" w:hAnsi="Arial" w:cs="Arial"/>
                      <w:color w:val="auto"/>
                    </w:rPr>
                  </w:pPr>
                  <w:r>
                    <w:rPr>
                      <w:rFonts w:ascii="Arial" w:hAnsi="Arial" w:cs="Arial"/>
                      <w:color w:val="auto"/>
                    </w:rPr>
                    <w:t>430</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986681"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r w:rsidR="00585596">
              <w:rPr>
                <w:rFonts w:ascii="Arial" w:hAnsi="Arial" w:cs="Arial"/>
                <w:sz w:val="24"/>
                <w:szCs w:val="24"/>
              </w:rPr>
              <w:t xml:space="preserve"> </w:t>
            </w:r>
          </w:p>
          <w:p w:rsidR="007D1627" w:rsidRPr="00024B6B" w:rsidRDefault="007D1627" w:rsidP="00A243E1">
            <w:pPr>
              <w:tabs>
                <w:tab w:val="left" w:pos="142"/>
              </w:tabs>
              <w:rPr>
                <w:rFonts w:ascii="Century Gothic" w:hAnsi="Century Gothic" w:cs="Arial"/>
                <w:szCs w:val="22"/>
              </w:rPr>
            </w:pPr>
          </w:p>
          <w:p w:rsidR="00A75AE8" w:rsidRPr="00024B6B" w:rsidRDefault="00024B6B" w:rsidP="00262EFE">
            <w:pPr>
              <w:tabs>
                <w:tab w:val="left" w:pos="142"/>
              </w:tabs>
              <w:rPr>
                <w:rFonts w:ascii="Century Gothic" w:hAnsi="Century Gothic" w:cs="Arial"/>
                <w:szCs w:val="22"/>
              </w:rPr>
            </w:pPr>
            <w:r w:rsidRPr="00024B6B">
              <w:rPr>
                <w:rFonts w:ascii="Century Gothic" w:hAnsi="Century Gothic" w:cs="Arial"/>
                <w:szCs w:val="22"/>
              </w:rPr>
              <w:t>A</w:t>
            </w:r>
            <w:r w:rsidR="00986681" w:rsidRPr="00024B6B">
              <w:rPr>
                <w:rFonts w:ascii="Century Gothic" w:hAnsi="Century Gothic" w:cs="Arial"/>
                <w:szCs w:val="22"/>
              </w:rPr>
              <w:t xml:space="preserve"> poster and leaflets </w:t>
            </w:r>
            <w:r w:rsidRPr="00024B6B">
              <w:rPr>
                <w:rFonts w:ascii="Century Gothic" w:hAnsi="Century Gothic" w:cs="Arial"/>
                <w:szCs w:val="22"/>
              </w:rPr>
              <w:t xml:space="preserve">are displayed </w:t>
            </w:r>
            <w:r w:rsidR="00986681" w:rsidRPr="00024B6B">
              <w:rPr>
                <w:rFonts w:ascii="Century Gothic" w:hAnsi="Century Gothic" w:cs="Arial"/>
                <w:szCs w:val="22"/>
              </w:rPr>
              <w:t xml:space="preserve">in the waiting room and these are also promoted on our website. All staff </w:t>
            </w:r>
            <w:proofErr w:type="gramStart"/>
            <w:r w:rsidR="00986681" w:rsidRPr="00024B6B">
              <w:rPr>
                <w:rFonts w:ascii="Century Gothic" w:hAnsi="Century Gothic" w:cs="Arial"/>
                <w:szCs w:val="22"/>
              </w:rPr>
              <w:t>are</w:t>
            </w:r>
            <w:proofErr w:type="gramEnd"/>
            <w:r w:rsidR="00986681" w:rsidRPr="00024B6B">
              <w:rPr>
                <w:rFonts w:ascii="Century Gothic" w:hAnsi="Century Gothic" w:cs="Arial"/>
                <w:szCs w:val="22"/>
              </w:rPr>
              <w:t xml:space="preserve"> encouraged to promote the PRG </w:t>
            </w:r>
            <w:r w:rsidR="00675101">
              <w:rPr>
                <w:rFonts w:ascii="Century Gothic" w:hAnsi="Century Gothic" w:cs="Arial"/>
                <w:szCs w:val="22"/>
              </w:rPr>
              <w:t>face to face when</w:t>
            </w:r>
            <w:r w:rsidR="00986681" w:rsidRPr="00024B6B">
              <w:rPr>
                <w:rFonts w:ascii="Century Gothic" w:hAnsi="Century Gothic" w:cs="Arial"/>
                <w:szCs w:val="22"/>
              </w:rPr>
              <w:t xml:space="preserve"> an opportunity arises.</w:t>
            </w:r>
          </w:p>
          <w:p w:rsidR="00262EFE" w:rsidRPr="002649FE" w:rsidRDefault="00262EFE" w:rsidP="00262EFE">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BA584C"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p>
          <w:p w:rsidR="00A75AE8" w:rsidRPr="00024B6B" w:rsidRDefault="007D1627" w:rsidP="00A243E1">
            <w:pPr>
              <w:tabs>
                <w:tab w:val="left" w:pos="142"/>
              </w:tabs>
              <w:rPr>
                <w:rFonts w:ascii="Century Gothic" w:hAnsi="Century Gothic" w:cs="Arial"/>
                <w:szCs w:val="22"/>
              </w:rPr>
            </w:pPr>
            <w:r w:rsidRPr="00024B6B">
              <w:rPr>
                <w:rFonts w:ascii="Century Gothic" w:hAnsi="Century Gothic" w:cs="Arial"/>
                <w:szCs w:val="22"/>
              </w:rPr>
              <w:t>NO</w:t>
            </w:r>
          </w:p>
          <w:p w:rsidR="00A75AE8" w:rsidRPr="002649FE" w:rsidRDefault="00A75AE8" w:rsidP="00262EFE">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tc>
      </w:tr>
    </w:tbl>
    <w:p w:rsidR="00BA584C" w:rsidRDefault="00BA584C" w:rsidP="00A75AE8">
      <w:pPr>
        <w:tabs>
          <w:tab w:val="left" w:pos="142"/>
        </w:tabs>
        <w:rPr>
          <w:rFonts w:ascii="Arial" w:hAnsi="Arial" w:cs="Arial"/>
          <w:sz w:val="24"/>
          <w:szCs w:val="24"/>
        </w:rPr>
      </w:pPr>
    </w:p>
    <w:p w:rsidR="008F6459" w:rsidRDefault="008F6459" w:rsidP="00A75AE8">
      <w:pPr>
        <w:tabs>
          <w:tab w:val="left" w:pos="142"/>
        </w:tabs>
        <w:rPr>
          <w:rFonts w:ascii="Arial" w:hAnsi="Arial" w:cs="Arial"/>
          <w:sz w:val="24"/>
          <w:szCs w:val="24"/>
        </w:rPr>
      </w:pPr>
    </w:p>
    <w:p w:rsidR="008F6459" w:rsidRDefault="008F6459" w:rsidP="00A75AE8">
      <w:pPr>
        <w:tabs>
          <w:tab w:val="left" w:pos="142"/>
        </w:tabs>
        <w:rPr>
          <w:rFonts w:ascii="Arial" w:hAnsi="Arial" w:cs="Arial"/>
          <w:sz w:val="24"/>
          <w:szCs w:val="24"/>
        </w:rPr>
      </w:pPr>
    </w:p>
    <w:p w:rsidR="008F6459" w:rsidRDefault="008F6459" w:rsidP="00A75AE8">
      <w:pPr>
        <w:tabs>
          <w:tab w:val="left" w:pos="142"/>
        </w:tabs>
        <w:rPr>
          <w:rFonts w:ascii="Arial" w:hAnsi="Arial" w:cs="Arial"/>
          <w:sz w:val="24"/>
          <w:szCs w:val="24"/>
        </w:rPr>
      </w:pPr>
    </w:p>
    <w:p w:rsidR="008F6459" w:rsidRPr="002649FE" w:rsidRDefault="008F6459" w:rsidP="00A75AE8">
      <w:pPr>
        <w:tabs>
          <w:tab w:val="left" w:pos="142"/>
        </w:tabs>
        <w:rPr>
          <w:rFonts w:ascii="Arial" w:hAnsi="Arial" w:cs="Arial"/>
          <w:sz w:val="24"/>
          <w:szCs w:val="24"/>
        </w:rPr>
      </w:pPr>
    </w:p>
    <w:p w:rsidR="00A75AE8"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Review of patient feedback</w:t>
      </w:r>
    </w:p>
    <w:p w:rsidR="00BA584C" w:rsidRPr="002649FE" w:rsidRDefault="00BA584C" w:rsidP="00BA584C">
      <w:pPr>
        <w:pStyle w:val="ListParagraph"/>
        <w:tabs>
          <w:tab w:val="left" w:pos="142"/>
        </w:tabs>
        <w:spacing w:line="240" w:lineRule="auto"/>
        <w:ind w:left="0"/>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r w:rsidR="00AC4CB7">
              <w:rPr>
                <w:rFonts w:ascii="Arial" w:hAnsi="Arial" w:cs="Arial"/>
                <w:sz w:val="24"/>
              </w:rPr>
              <w:t xml:space="preserve"> </w:t>
            </w:r>
          </w:p>
          <w:p w:rsidR="00A75AE8" w:rsidRPr="00024B6B" w:rsidRDefault="00AC4CB7" w:rsidP="00A243E1">
            <w:pPr>
              <w:pStyle w:val="Default"/>
              <w:tabs>
                <w:tab w:val="left" w:pos="142"/>
              </w:tabs>
              <w:rPr>
                <w:rFonts w:ascii="Century Gothic" w:hAnsi="Century Gothic" w:cs="Arial"/>
                <w:sz w:val="22"/>
                <w:szCs w:val="22"/>
              </w:rPr>
            </w:pPr>
            <w:r w:rsidRPr="00024B6B">
              <w:rPr>
                <w:rFonts w:ascii="Century Gothic" w:hAnsi="Century Gothic" w:cs="Arial"/>
                <w:sz w:val="22"/>
                <w:szCs w:val="22"/>
              </w:rPr>
              <w:t xml:space="preserve">Scarborough &amp; </w:t>
            </w:r>
            <w:proofErr w:type="spellStart"/>
            <w:r w:rsidRPr="00024B6B">
              <w:rPr>
                <w:rFonts w:ascii="Century Gothic" w:hAnsi="Century Gothic" w:cs="Arial"/>
                <w:sz w:val="22"/>
                <w:szCs w:val="22"/>
              </w:rPr>
              <w:t>Rydale</w:t>
            </w:r>
            <w:proofErr w:type="spellEnd"/>
            <w:r w:rsidRPr="00024B6B">
              <w:rPr>
                <w:rFonts w:ascii="Century Gothic" w:hAnsi="Century Gothic" w:cs="Arial"/>
                <w:sz w:val="22"/>
                <w:szCs w:val="22"/>
              </w:rPr>
              <w:t xml:space="preserve"> Clinical Commissioning Group Information Request</w:t>
            </w:r>
            <w:r w:rsidR="003A2A81" w:rsidRPr="00024B6B">
              <w:rPr>
                <w:rFonts w:ascii="Century Gothic" w:hAnsi="Century Gothic" w:cs="Arial"/>
                <w:sz w:val="22"/>
                <w:szCs w:val="22"/>
              </w:rPr>
              <w:t xml:space="preserve"> Patient Survey</w:t>
            </w:r>
          </w:p>
          <w:p w:rsidR="003A2A81" w:rsidRPr="00024B6B" w:rsidRDefault="003A2A81" w:rsidP="00A243E1">
            <w:pPr>
              <w:pStyle w:val="Default"/>
              <w:tabs>
                <w:tab w:val="left" w:pos="142"/>
              </w:tabs>
              <w:rPr>
                <w:rFonts w:ascii="Century Gothic" w:hAnsi="Century Gothic" w:cs="Arial"/>
                <w:sz w:val="22"/>
                <w:szCs w:val="22"/>
              </w:rPr>
            </w:pPr>
            <w:r w:rsidRPr="00024B6B">
              <w:rPr>
                <w:rFonts w:ascii="Century Gothic" w:hAnsi="Century Gothic" w:cs="Arial"/>
                <w:sz w:val="22"/>
                <w:szCs w:val="22"/>
              </w:rPr>
              <w:t>Friends and Family Feedback</w:t>
            </w:r>
          </w:p>
          <w:p w:rsidR="003A2A81" w:rsidRPr="00024B6B" w:rsidRDefault="003A2A81" w:rsidP="00A243E1">
            <w:pPr>
              <w:pStyle w:val="Default"/>
              <w:tabs>
                <w:tab w:val="left" w:pos="142"/>
              </w:tabs>
              <w:rPr>
                <w:rFonts w:ascii="Century Gothic" w:eastAsiaTheme="minorHAnsi" w:hAnsi="Century Gothic" w:cs="Calibri"/>
                <w:sz w:val="22"/>
                <w:szCs w:val="22"/>
                <w:lang w:eastAsia="en-US"/>
              </w:rPr>
            </w:pPr>
            <w:r w:rsidRPr="00024B6B">
              <w:rPr>
                <w:rFonts w:ascii="Century Gothic" w:eastAsiaTheme="minorHAnsi" w:hAnsi="Century Gothic" w:cs="Calibri"/>
                <w:sz w:val="22"/>
                <w:szCs w:val="22"/>
                <w:lang w:eastAsia="en-US"/>
              </w:rPr>
              <w:t>Patient Relations Survey</w:t>
            </w:r>
          </w:p>
          <w:p w:rsidR="00262EFE" w:rsidRPr="00024B6B" w:rsidRDefault="00262EFE" w:rsidP="00A243E1">
            <w:pPr>
              <w:pStyle w:val="Default"/>
              <w:tabs>
                <w:tab w:val="left" w:pos="142"/>
              </w:tabs>
              <w:rPr>
                <w:rFonts w:ascii="Century Gothic" w:hAnsi="Century Gothic" w:cs="Arial"/>
                <w:sz w:val="22"/>
                <w:szCs w:val="22"/>
              </w:rPr>
            </w:pPr>
            <w:r w:rsidRPr="00024B6B">
              <w:rPr>
                <w:rFonts w:ascii="Century Gothic" w:eastAsiaTheme="minorHAnsi" w:hAnsi="Century Gothic" w:cs="Calibri"/>
                <w:sz w:val="22"/>
                <w:szCs w:val="22"/>
                <w:lang w:eastAsia="en-US"/>
              </w:rPr>
              <w:t>Significant Events</w:t>
            </w:r>
          </w:p>
          <w:p w:rsidR="00A75AE8" w:rsidRPr="00024B6B" w:rsidRDefault="00AC4CB7" w:rsidP="00A243E1">
            <w:pPr>
              <w:pStyle w:val="Default"/>
              <w:tabs>
                <w:tab w:val="left" w:pos="142"/>
              </w:tabs>
              <w:rPr>
                <w:rFonts w:ascii="Century Gothic" w:hAnsi="Century Gothic" w:cs="Arial"/>
                <w:sz w:val="22"/>
                <w:szCs w:val="22"/>
              </w:rPr>
            </w:pPr>
            <w:r w:rsidRPr="00024B6B">
              <w:rPr>
                <w:rFonts w:ascii="Century Gothic" w:hAnsi="Century Gothic" w:cs="Arial"/>
                <w:sz w:val="22"/>
                <w:szCs w:val="22"/>
              </w:rPr>
              <w:t>Walk for Health</w:t>
            </w:r>
          </w:p>
          <w:p w:rsidR="00AC4CB7" w:rsidRPr="00024B6B" w:rsidRDefault="003A2A81" w:rsidP="00A243E1">
            <w:pPr>
              <w:pStyle w:val="Default"/>
              <w:tabs>
                <w:tab w:val="left" w:pos="142"/>
              </w:tabs>
              <w:rPr>
                <w:rFonts w:ascii="Century Gothic" w:hAnsi="Century Gothic" w:cs="Arial"/>
                <w:sz w:val="22"/>
                <w:szCs w:val="22"/>
              </w:rPr>
            </w:pPr>
            <w:proofErr w:type="spellStart"/>
            <w:r w:rsidRPr="00024B6B">
              <w:rPr>
                <w:rFonts w:ascii="Century Gothic" w:hAnsi="Century Gothic" w:cs="Arial"/>
                <w:sz w:val="22"/>
                <w:szCs w:val="22"/>
              </w:rPr>
              <w:t>Hackness</w:t>
            </w:r>
            <w:proofErr w:type="spellEnd"/>
            <w:r w:rsidRPr="00024B6B">
              <w:rPr>
                <w:rFonts w:ascii="Century Gothic" w:hAnsi="Century Gothic" w:cs="Arial"/>
                <w:sz w:val="22"/>
                <w:szCs w:val="22"/>
              </w:rPr>
              <w:t xml:space="preserve"> </w:t>
            </w:r>
            <w:proofErr w:type="spellStart"/>
            <w:r w:rsidRPr="00024B6B">
              <w:rPr>
                <w:rFonts w:ascii="Century Gothic" w:hAnsi="Century Gothic" w:cs="Arial"/>
                <w:sz w:val="22"/>
                <w:szCs w:val="22"/>
              </w:rPr>
              <w:t>Yarners</w:t>
            </w:r>
            <w:proofErr w:type="spellEnd"/>
            <w:r w:rsidRPr="00024B6B">
              <w:rPr>
                <w:rFonts w:ascii="Century Gothic" w:hAnsi="Century Gothic" w:cs="Arial"/>
                <w:sz w:val="22"/>
                <w:szCs w:val="22"/>
              </w:rPr>
              <w:t xml:space="preserve"> C</w:t>
            </w:r>
            <w:r w:rsidR="00AC4CB7" w:rsidRPr="00024B6B">
              <w:rPr>
                <w:rFonts w:ascii="Century Gothic" w:hAnsi="Century Gothic" w:cs="Arial"/>
                <w:sz w:val="22"/>
                <w:szCs w:val="22"/>
              </w:rPr>
              <w:t>rafting</w:t>
            </w:r>
            <w:r w:rsidRPr="00024B6B">
              <w:rPr>
                <w:rFonts w:ascii="Century Gothic" w:hAnsi="Century Gothic" w:cs="Arial"/>
                <w:sz w:val="22"/>
                <w:szCs w:val="22"/>
              </w:rPr>
              <w:t xml:space="preserve"> Group</w:t>
            </w:r>
            <w:r w:rsidR="00AC4CB7" w:rsidRPr="00024B6B">
              <w:rPr>
                <w:rFonts w:ascii="Century Gothic" w:hAnsi="Century Gothic" w:cs="Arial"/>
                <w:sz w:val="22"/>
                <w:szCs w:val="22"/>
              </w:rPr>
              <w:t xml:space="preserve"> </w:t>
            </w:r>
          </w:p>
          <w:p w:rsidR="003A2A81" w:rsidRPr="00024B6B" w:rsidRDefault="003A2A81" w:rsidP="00A243E1">
            <w:pPr>
              <w:pStyle w:val="Default"/>
              <w:tabs>
                <w:tab w:val="left" w:pos="142"/>
              </w:tabs>
              <w:rPr>
                <w:rFonts w:ascii="Century Gothic" w:hAnsi="Century Gothic" w:cs="Arial"/>
                <w:sz w:val="22"/>
                <w:szCs w:val="22"/>
              </w:rPr>
            </w:pPr>
            <w:r w:rsidRPr="00024B6B">
              <w:rPr>
                <w:rFonts w:ascii="Century Gothic" w:hAnsi="Century Gothic" w:cs="Arial"/>
                <w:sz w:val="22"/>
                <w:szCs w:val="22"/>
              </w:rPr>
              <w:t>Fundraising Activities</w:t>
            </w:r>
          </w:p>
          <w:p w:rsidR="00A75AE8" w:rsidRPr="002649FE" w:rsidRDefault="003A2A81" w:rsidP="00262EFE">
            <w:pPr>
              <w:pStyle w:val="Default"/>
              <w:tabs>
                <w:tab w:val="left" w:pos="142"/>
              </w:tabs>
              <w:rPr>
                <w:rFonts w:ascii="Arial" w:hAnsi="Arial" w:cs="Arial"/>
              </w:rPr>
            </w:pPr>
            <w:r w:rsidRPr="00024B6B">
              <w:rPr>
                <w:rFonts w:ascii="Century Gothic" w:hAnsi="Century Gothic" w:cs="Arial"/>
                <w:sz w:val="22"/>
                <w:szCs w:val="22"/>
              </w:rPr>
              <w:t>Practice Newsletters</w:t>
            </w: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Pr="00024B6B" w:rsidRDefault="00AC4CB7" w:rsidP="00A243E1">
            <w:pPr>
              <w:pStyle w:val="Default"/>
              <w:tabs>
                <w:tab w:val="left" w:pos="142"/>
              </w:tabs>
              <w:rPr>
                <w:rFonts w:ascii="Century Gothic" w:hAnsi="Century Gothic" w:cs="Arial"/>
                <w:sz w:val="22"/>
                <w:szCs w:val="22"/>
              </w:rPr>
            </w:pPr>
            <w:r w:rsidRPr="00024B6B">
              <w:rPr>
                <w:rFonts w:ascii="Century Gothic" w:hAnsi="Century Gothic" w:cs="Arial"/>
                <w:sz w:val="22"/>
                <w:szCs w:val="22"/>
              </w:rPr>
              <w:t>Feedback was discussed at each quarterly meeting.</w:t>
            </w: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gridCol w:w="32"/>
      </w:tblGrid>
      <w:tr w:rsidR="00A75AE8" w:rsidRPr="002649FE" w:rsidTr="002D38D9">
        <w:trPr>
          <w:trHeight w:val="555"/>
        </w:trPr>
        <w:tc>
          <w:tcPr>
            <w:tcW w:w="14066" w:type="dxa"/>
            <w:gridSpan w:val="2"/>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2D38D9">
        <w:trPr>
          <w:trHeight w:val="920"/>
        </w:trPr>
        <w:tc>
          <w:tcPr>
            <w:tcW w:w="14066" w:type="dxa"/>
            <w:gridSpan w:val="2"/>
          </w:tcPr>
          <w:p w:rsidR="00A75AE8" w:rsidRPr="002649FE" w:rsidRDefault="00A75AE8" w:rsidP="00A243E1">
            <w:pPr>
              <w:pStyle w:val="Default"/>
              <w:tabs>
                <w:tab w:val="left" w:pos="142"/>
              </w:tabs>
              <w:rPr>
                <w:rFonts w:ascii="Arial" w:hAnsi="Arial" w:cs="Arial"/>
                <w:sz w:val="24"/>
              </w:rPr>
            </w:pPr>
          </w:p>
          <w:p w:rsidR="00262E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3A2A81">
              <w:rPr>
                <w:rFonts w:ascii="Arial" w:hAnsi="Arial" w:cs="Arial"/>
                <w:sz w:val="24"/>
              </w:rPr>
              <w:t xml:space="preserve"> </w:t>
            </w:r>
          </w:p>
          <w:p w:rsidR="00A75AE8" w:rsidRPr="002649FE" w:rsidRDefault="003A2A81" w:rsidP="00262EFE">
            <w:pPr>
              <w:pStyle w:val="Default"/>
              <w:tabs>
                <w:tab w:val="left" w:pos="142"/>
              </w:tabs>
              <w:rPr>
                <w:rFonts w:ascii="Arial" w:hAnsi="Arial" w:cs="Arial"/>
                <w:sz w:val="24"/>
              </w:rPr>
            </w:pPr>
            <w:r w:rsidRPr="00A1797D">
              <w:rPr>
                <w:rFonts w:ascii="Century Gothic" w:hAnsi="Century Gothic"/>
                <w:sz w:val="22"/>
                <w:szCs w:val="22"/>
              </w:rPr>
              <w:t>Promote Online access</w:t>
            </w:r>
          </w:p>
        </w:tc>
      </w:tr>
      <w:tr w:rsidR="00A75AE8" w:rsidRPr="002649FE" w:rsidTr="002D38D9">
        <w:trPr>
          <w:trHeight w:val="920"/>
        </w:trPr>
        <w:tc>
          <w:tcPr>
            <w:tcW w:w="14066" w:type="dxa"/>
            <w:gridSpan w:val="2"/>
          </w:tcPr>
          <w:p w:rsidR="00A75AE8" w:rsidRPr="002649FE" w:rsidRDefault="00A75AE8" w:rsidP="00A243E1">
            <w:pPr>
              <w:pStyle w:val="Default"/>
              <w:tabs>
                <w:tab w:val="left" w:pos="142"/>
              </w:tabs>
              <w:rPr>
                <w:rFonts w:ascii="Arial" w:hAnsi="Arial" w:cs="Arial"/>
                <w:sz w:val="24"/>
              </w:rPr>
            </w:pPr>
          </w:p>
          <w:p w:rsidR="00A75AE8" w:rsidRPr="002649FE" w:rsidRDefault="00A75AE8" w:rsidP="00262EFE">
            <w:pPr>
              <w:spacing w:line="240" w:lineRule="auto"/>
              <w:rPr>
                <w:rFonts w:ascii="Arial" w:hAnsi="Arial" w:cs="Arial"/>
                <w:sz w:val="24"/>
              </w:rPr>
            </w:pPr>
            <w:r w:rsidRPr="005E27D2">
              <w:rPr>
                <w:rFonts w:ascii="Arial" w:hAnsi="Arial" w:cs="Arial"/>
                <w:sz w:val="24"/>
              </w:rPr>
              <w:t>What actions were taken to address the priority?</w:t>
            </w:r>
            <w:r w:rsidR="003A2A81" w:rsidRPr="005E27D2">
              <w:rPr>
                <w:rFonts w:ascii="Century Gothic" w:hAnsi="Century Gothic"/>
                <w:color w:val="000000"/>
              </w:rPr>
              <w:t xml:space="preserve"> </w:t>
            </w:r>
            <w:r w:rsidR="00EB7546" w:rsidRPr="005E27D2">
              <w:rPr>
                <w:rFonts w:ascii="Century Gothic" w:hAnsi="Century Gothic"/>
                <w:color w:val="000000"/>
              </w:rPr>
              <w:t>Online Access is promoted with leaflets</w:t>
            </w:r>
            <w:r w:rsidR="003A2A81" w:rsidRPr="005E27D2">
              <w:rPr>
                <w:rFonts w:ascii="Century Gothic" w:hAnsi="Century Gothic"/>
                <w:color w:val="000000"/>
              </w:rPr>
              <w:t xml:space="preserve"> in the waiting room, verbally with patients attending</w:t>
            </w:r>
            <w:r w:rsidR="00EB7546" w:rsidRPr="005E27D2">
              <w:rPr>
                <w:rFonts w:ascii="Century Gothic" w:hAnsi="Century Gothic"/>
                <w:color w:val="000000"/>
              </w:rPr>
              <w:t xml:space="preserve"> at reception where appropriate</w:t>
            </w:r>
            <w:r w:rsidR="003A2A81" w:rsidRPr="005E27D2">
              <w:rPr>
                <w:rFonts w:ascii="Century Gothic" w:hAnsi="Century Gothic"/>
                <w:color w:val="000000"/>
              </w:rPr>
              <w:t>, on the website, in the new patient pack for all newly registering patients</w:t>
            </w:r>
            <w:r w:rsidR="002D38D9">
              <w:rPr>
                <w:rFonts w:ascii="Century Gothic" w:hAnsi="Century Gothic"/>
                <w:color w:val="000000"/>
              </w:rPr>
              <w:t>, on repeat prescription forms</w:t>
            </w:r>
            <w:r w:rsidR="00EB7546" w:rsidRPr="005E27D2">
              <w:rPr>
                <w:rFonts w:ascii="Century Gothic" w:hAnsi="Century Gothic"/>
                <w:color w:val="000000"/>
              </w:rPr>
              <w:t xml:space="preserve"> and opportunistically during any patient contact time where appropriate</w:t>
            </w:r>
            <w:r w:rsidR="003A2A81" w:rsidRPr="005E27D2">
              <w:rPr>
                <w:rFonts w:ascii="Century Gothic" w:hAnsi="Century Gothic"/>
                <w:color w:val="000000"/>
              </w:rPr>
              <w:t>.</w:t>
            </w:r>
          </w:p>
        </w:tc>
      </w:tr>
      <w:tr w:rsidR="00A75AE8" w:rsidRPr="002649FE" w:rsidTr="002D38D9">
        <w:trPr>
          <w:trHeight w:val="85"/>
        </w:trPr>
        <w:tc>
          <w:tcPr>
            <w:tcW w:w="14066" w:type="dxa"/>
            <w:gridSpan w:val="2"/>
          </w:tcPr>
          <w:p w:rsidR="00A75AE8" w:rsidRPr="002649FE" w:rsidRDefault="00A75AE8" w:rsidP="00A243E1">
            <w:pPr>
              <w:pStyle w:val="Default"/>
              <w:tabs>
                <w:tab w:val="left" w:pos="142"/>
              </w:tabs>
              <w:rPr>
                <w:rFonts w:ascii="Arial" w:hAnsi="Arial" w:cs="Arial"/>
                <w:sz w:val="24"/>
              </w:rPr>
            </w:pPr>
          </w:p>
          <w:p w:rsidR="00EB7546" w:rsidRDefault="00A75AE8" w:rsidP="00A243E1">
            <w:pPr>
              <w:pStyle w:val="Default"/>
              <w:tabs>
                <w:tab w:val="left" w:pos="142"/>
              </w:tabs>
              <w:rPr>
                <w:rFonts w:ascii="Century Gothic" w:hAnsi="Century Gothic"/>
                <w:sz w:val="22"/>
                <w:szCs w:val="22"/>
              </w:rPr>
            </w:pPr>
            <w:r w:rsidRPr="002649FE">
              <w:rPr>
                <w:rFonts w:ascii="Arial" w:hAnsi="Arial" w:cs="Arial"/>
                <w:sz w:val="24"/>
              </w:rPr>
              <w:t>Result of actions and impact on patients and carers (including how publicised):</w:t>
            </w:r>
            <w:r w:rsidR="003A2A81" w:rsidRPr="00A1797D">
              <w:rPr>
                <w:rFonts w:ascii="Century Gothic" w:hAnsi="Century Gothic"/>
                <w:sz w:val="22"/>
                <w:szCs w:val="22"/>
              </w:rPr>
              <w:t xml:space="preserve"> </w:t>
            </w:r>
          </w:p>
          <w:p w:rsidR="00A75AE8" w:rsidRPr="002649FE" w:rsidRDefault="00EB7546" w:rsidP="00846BFA">
            <w:pPr>
              <w:pStyle w:val="Default"/>
              <w:tabs>
                <w:tab w:val="left" w:pos="142"/>
              </w:tabs>
              <w:rPr>
                <w:rFonts w:ascii="Arial" w:hAnsi="Arial" w:cs="Arial"/>
                <w:sz w:val="24"/>
              </w:rPr>
            </w:pPr>
            <w:r>
              <w:rPr>
                <w:rFonts w:ascii="Century Gothic" w:hAnsi="Century Gothic"/>
                <w:sz w:val="22"/>
                <w:szCs w:val="22"/>
              </w:rPr>
              <w:t>423</w:t>
            </w:r>
            <w:r w:rsidRPr="00A1797D">
              <w:rPr>
                <w:rFonts w:ascii="Century Gothic" w:hAnsi="Century Gothic"/>
                <w:sz w:val="22"/>
                <w:szCs w:val="22"/>
              </w:rPr>
              <w:t xml:space="preserve"> patients </w:t>
            </w:r>
            <w:r w:rsidR="005E27D2">
              <w:rPr>
                <w:rFonts w:ascii="Century Gothic" w:hAnsi="Century Gothic"/>
                <w:sz w:val="22"/>
                <w:szCs w:val="22"/>
              </w:rPr>
              <w:t xml:space="preserve">are now </w:t>
            </w:r>
            <w:r w:rsidRPr="00A1797D">
              <w:rPr>
                <w:rFonts w:ascii="Century Gothic" w:hAnsi="Century Gothic"/>
                <w:sz w:val="22"/>
                <w:szCs w:val="22"/>
              </w:rPr>
              <w:t>registered for online access</w:t>
            </w:r>
            <w:r w:rsidR="00846BFA">
              <w:rPr>
                <w:rFonts w:ascii="Century Gothic" w:hAnsi="Century Gothic"/>
                <w:sz w:val="22"/>
                <w:szCs w:val="22"/>
              </w:rPr>
              <w:t>.</w:t>
            </w:r>
            <w:r>
              <w:rPr>
                <w:rFonts w:ascii="Century Gothic" w:hAnsi="Century Gothic"/>
                <w:sz w:val="22"/>
                <w:szCs w:val="22"/>
              </w:rPr>
              <w:t xml:space="preserve"> </w:t>
            </w:r>
            <w:r w:rsidR="00846BFA">
              <w:rPr>
                <w:rFonts w:ascii="Century Gothic" w:hAnsi="Century Gothic"/>
                <w:sz w:val="22"/>
                <w:szCs w:val="22"/>
              </w:rPr>
              <w:t xml:space="preserve">This has helped to relieve pressure on the telephone lines and </w:t>
            </w:r>
            <w:r>
              <w:rPr>
                <w:rFonts w:ascii="Century Gothic" w:hAnsi="Century Gothic"/>
                <w:sz w:val="22"/>
                <w:szCs w:val="22"/>
              </w:rPr>
              <w:t>these patients enjoy a wider range of services from their own mobile phone or tablet</w:t>
            </w:r>
            <w:r w:rsidR="00262EFE">
              <w:rPr>
                <w:rFonts w:ascii="Century Gothic" w:hAnsi="Century Gothic"/>
                <w:sz w:val="22"/>
                <w:szCs w:val="22"/>
              </w:rPr>
              <w:t xml:space="preserve">. </w:t>
            </w:r>
            <w:r>
              <w:rPr>
                <w:rFonts w:ascii="Century Gothic" w:hAnsi="Century Gothic"/>
                <w:sz w:val="22"/>
                <w:szCs w:val="22"/>
              </w:rPr>
              <w:t xml:space="preserve">Patients and/or Carers with online access can make </w:t>
            </w:r>
            <w:r>
              <w:rPr>
                <w:rFonts w:ascii="Century Gothic" w:hAnsi="Century Gothic"/>
                <w:sz w:val="22"/>
                <w:szCs w:val="22"/>
              </w:rPr>
              <w:lastRenderedPageBreak/>
              <w:t>appointments, request repeat prescriptions, have access to their Summary Care Record, change their contact details</w:t>
            </w:r>
            <w:r w:rsidR="00262EFE">
              <w:rPr>
                <w:rFonts w:ascii="Century Gothic" w:hAnsi="Century Gothic"/>
                <w:sz w:val="22"/>
                <w:szCs w:val="22"/>
              </w:rPr>
              <w:t xml:space="preserve"> and vie</w:t>
            </w:r>
            <w:r>
              <w:rPr>
                <w:rFonts w:ascii="Century Gothic" w:hAnsi="Century Gothic"/>
                <w:sz w:val="22"/>
                <w:szCs w:val="22"/>
              </w:rPr>
              <w:t>w future and past appointments.</w:t>
            </w:r>
          </w:p>
        </w:tc>
      </w:tr>
      <w:tr w:rsidR="00A75AE8" w:rsidRPr="002649FE" w:rsidTr="00A243E1">
        <w:trPr>
          <w:gridAfter w:val="1"/>
          <w:wAfter w:w="32" w:type="dxa"/>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gridAfter w:val="1"/>
          <w:wAfter w:w="32" w:type="dxa"/>
          <w:trHeight w:val="920"/>
        </w:trPr>
        <w:tc>
          <w:tcPr>
            <w:tcW w:w="14034" w:type="dxa"/>
          </w:tcPr>
          <w:p w:rsidR="00A75AE8" w:rsidRPr="002649FE" w:rsidRDefault="00A75AE8" w:rsidP="00A243E1">
            <w:pPr>
              <w:pStyle w:val="Default"/>
              <w:tabs>
                <w:tab w:val="left" w:pos="142"/>
              </w:tabs>
              <w:rPr>
                <w:rFonts w:ascii="Arial" w:hAnsi="Arial" w:cs="Arial"/>
                <w:sz w:val="24"/>
              </w:rPr>
            </w:pPr>
          </w:p>
          <w:p w:rsidR="00262EFE" w:rsidRDefault="00A75AE8" w:rsidP="00A243E1">
            <w:pPr>
              <w:pStyle w:val="Default"/>
              <w:tabs>
                <w:tab w:val="left" w:pos="142"/>
              </w:tabs>
              <w:rPr>
                <w:rFonts w:ascii="Century Gothic" w:hAnsi="Century Gothic"/>
                <w:sz w:val="22"/>
                <w:szCs w:val="22"/>
              </w:rPr>
            </w:pPr>
            <w:r w:rsidRPr="002649FE">
              <w:rPr>
                <w:rFonts w:ascii="Arial" w:hAnsi="Arial" w:cs="Arial"/>
                <w:sz w:val="24"/>
              </w:rPr>
              <w:t>Description of priority area:</w:t>
            </w:r>
            <w:r w:rsidR="005E27D2" w:rsidRPr="00A1797D">
              <w:rPr>
                <w:rFonts w:ascii="Century Gothic" w:hAnsi="Century Gothic"/>
                <w:sz w:val="22"/>
                <w:szCs w:val="22"/>
              </w:rPr>
              <w:t xml:space="preserve"> </w:t>
            </w:r>
          </w:p>
          <w:p w:rsidR="00A75AE8" w:rsidRPr="002649FE" w:rsidRDefault="005E27D2" w:rsidP="00262EFE">
            <w:pPr>
              <w:pStyle w:val="Default"/>
              <w:tabs>
                <w:tab w:val="left" w:pos="142"/>
              </w:tabs>
              <w:rPr>
                <w:rFonts w:ascii="Arial" w:hAnsi="Arial" w:cs="Arial"/>
                <w:sz w:val="24"/>
              </w:rPr>
            </w:pPr>
            <w:r w:rsidRPr="00A1797D">
              <w:rPr>
                <w:rFonts w:ascii="Century Gothic" w:hAnsi="Century Gothic"/>
                <w:sz w:val="22"/>
                <w:szCs w:val="22"/>
              </w:rPr>
              <w:t>Consider the timing of patient reviews and recalls for chronic disease management.</w:t>
            </w:r>
          </w:p>
        </w:tc>
      </w:tr>
      <w:tr w:rsidR="00A75AE8" w:rsidRPr="002649FE" w:rsidTr="00A243E1">
        <w:trPr>
          <w:gridAfter w:val="1"/>
          <w:wAfter w:w="32" w:type="dxa"/>
          <w:trHeight w:val="920"/>
        </w:trPr>
        <w:tc>
          <w:tcPr>
            <w:tcW w:w="14034" w:type="dxa"/>
          </w:tcPr>
          <w:p w:rsidR="00A75AE8" w:rsidRPr="002649FE" w:rsidRDefault="00A75AE8" w:rsidP="00A243E1">
            <w:pPr>
              <w:pStyle w:val="Default"/>
              <w:tabs>
                <w:tab w:val="left" w:pos="142"/>
              </w:tabs>
              <w:rPr>
                <w:rFonts w:ascii="Arial" w:hAnsi="Arial" w:cs="Arial"/>
                <w:sz w:val="24"/>
              </w:rPr>
            </w:pPr>
          </w:p>
          <w:p w:rsidR="00262EFE" w:rsidRDefault="00A75AE8" w:rsidP="00A243E1">
            <w:pPr>
              <w:pStyle w:val="Default"/>
              <w:tabs>
                <w:tab w:val="left" w:pos="142"/>
              </w:tabs>
              <w:rPr>
                <w:rFonts w:ascii="Century Gothic" w:hAnsi="Century Gothic"/>
                <w:sz w:val="22"/>
                <w:szCs w:val="22"/>
              </w:rPr>
            </w:pPr>
            <w:r w:rsidRPr="002649FE">
              <w:rPr>
                <w:rFonts w:ascii="Arial" w:hAnsi="Arial" w:cs="Arial"/>
                <w:sz w:val="24"/>
              </w:rPr>
              <w:t>What actions were taken to address the priority?</w:t>
            </w:r>
            <w:r w:rsidR="00262EFE" w:rsidRPr="00A1797D">
              <w:rPr>
                <w:rFonts w:ascii="Century Gothic" w:hAnsi="Century Gothic"/>
                <w:sz w:val="22"/>
                <w:szCs w:val="22"/>
              </w:rPr>
              <w:t xml:space="preserve"> </w:t>
            </w:r>
          </w:p>
          <w:p w:rsidR="00A75AE8" w:rsidRPr="002649FE" w:rsidRDefault="00262EFE" w:rsidP="00262EFE">
            <w:pPr>
              <w:pStyle w:val="Default"/>
              <w:tabs>
                <w:tab w:val="left" w:pos="142"/>
              </w:tabs>
              <w:rPr>
                <w:rFonts w:ascii="Arial" w:hAnsi="Arial" w:cs="Arial"/>
                <w:sz w:val="24"/>
              </w:rPr>
            </w:pPr>
            <w:r>
              <w:rPr>
                <w:rFonts w:ascii="Century Gothic" w:hAnsi="Century Gothic"/>
                <w:sz w:val="22"/>
                <w:szCs w:val="22"/>
              </w:rPr>
              <w:t xml:space="preserve">Progress is being made to bring reviews into line so patients can attend and have reviews done in one visit where possible. </w:t>
            </w:r>
            <w:r w:rsidRPr="00A1797D">
              <w:rPr>
                <w:rFonts w:ascii="Century Gothic" w:hAnsi="Century Gothic"/>
                <w:sz w:val="22"/>
                <w:szCs w:val="22"/>
              </w:rPr>
              <w:t xml:space="preserve">This has been in progress throughout the year and is ongoing. </w:t>
            </w:r>
          </w:p>
        </w:tc>
      </w:tr>
      <w:tr w:rsidR="00A75AE8" w:rsidRPr="002649FE" w:rsidTr="00A243E1">
        <w:trPr>
          <w:gridAfter w:val="1"/>
          <w:wAfter w:w="32" w:type="dxa"/>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262EFE" w:rsidP="00262EFE">
            <w:pPr>
              <w:pStyle w:val="Default"/>
              <w:tabs>
                <w:tab w:val="left" w:pos="142"/>
              </w:tabs>
              <w:rPr>
                <w:rFonts w:ascii="Arial" w:hAnsi="Arial" w:cs="Arial"/>
                <w:sz w:val="24"/>
              </w:rPr>
            </w:pPr>
            <w:r w:rsidRPr="00A1797D">
              <w:rPr>
                <w:rFonts w:ascii="Century Gothic" w:hAnsi="Century Gothic"/>
                <w:sz w:val="22"/>
                <w:szCs w:val="22"/>
              </w:rPr>
              <w:t>Where it has been implemented it has had the effect of reducing the number of visits required for patients to ensure that all their reviews are completed in a timely manner and reduced the administration time required to contact patients to arrange appointments.</w:t>
            </w:r>
          </w:p>
        </w:tc>
      </w:tr>
    </w:tbl>
    <w:p w:rsidR="00A75AE8" w:rsidRPr="002649FE" w:rsidRDefault="00A75AE8" w:rsidP="00A75AE8">
      <w:pPr>
        <w:rPr>
          <w:rFonts w:ascii="Arial" w:hAnsi="Arial" w:cs="Arial"/>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Century Gothic" w:eastAsiaTheme="minorHAnsi" w:hAnsi="Century Gothic" w:cs="Arial"/>
                <w:sz w:val="22"/>
                <w:szCs w:val="22"/>
              </w:rPr>
            </w:pPr>
            <w:r w:rsidRPr="002649FE">
              <w:rPr>
                <w:rFonts w:ascii="Arial" w:hAnsi="Arial" w:cs="Arial"/>
                <w:sz w:val="24"/>
              </w:rPr>
              <w:t>Description of priority area:</w:t>
            </w:r>
            <w:r w:rsidR="00EB7546" w:rsidRPr="00A1797D">
              <w:rPr>
                <w:rFonts w:ascii="Century Gothic" w:eastAsiaTheme="minorHAnsi" w:hAnsi="Century Gothic" w:cs="Arial"/>
                <w:sz w:val="22"/>
                <w:szCs w:val="22"/>
              </w:rPr>
              <w:t xml:space="preserve"> Extend the appointments from 4 weeks in advance to 6 weeks.</w:t>
            </w:r>
          </w:p>
          <w:p w:rsidR="00A75AE8" w:rsidRPr="002649FE" w:rsidRDefault="00EB7546" w:rsidP="00C16CDB">
            <w:pPr>
              <w:pStyle w:val="Default"/>
              <w:tabs>
                <w:tab w:val="left" w:pos="142"/>
              </w:tabs>
              <w:rPr>
                <w:rFonts w:ascii="Arial" w:hAnsi="Arial" w:cs="Arial"/>
                <w:sz w:val="24"/>
              </w:rPr>
            </w:pPr>
            <w:r>
              <w:rPr>
                <w:rFonts w:ascii="Century Gothic" w:eastAsiaTheme="minorHAnsi" w:hAnsi="Century Gothic" w:cs="Arial"/>
                <w:sz w:val="22"/>
                <w:szCs w:val="22"/>
              </w:rPr>
              <w:t>Patients had requested a longer lead time when booking appointments into the future to assist their time management</w:t>
            </w:r>
            <w:r w:rsidR="005E27D2">
              <w:rPr>
                <w:rFonts w:ascii="Century Gothic" w:eastAsiaTheme="minorHAnsi" w:hAnsi="Century Gothic" w:cs="Arial"/>
                <w:sz w:val="22"/>
                <w:szCs w:val="22"/>
              </w:rPr>
              <w:t xml:space="preserve"> capabilities.</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5E27D2" w:rsidRDefault="005E27D2" w:rsidP="005E27D2">
            <w:pPr>
              <w:spacing w:line="240" w:lineRule="auto"/>
              <w:rPr>
                <w:rFonts w:ascii="Arial" w:hAnsi="Arial" w:cs="Arial"/>
                <w:color w:val="000000"/>
                <w:sz w:val="24"/>
                <w:szCs w:val="24"/>
              </w:rPr>
            </w:pPr>
          </w:p>
          <w:p w:rsidR="00A75AE8" w:rsidRPr="002649FE" w:rsidRDefault="005E27D2" w:rsidP="00C16CDB">
            <w:pPr>
              <w:spacing w:line="240" w:lineRule="auto"/>
              <w:rPr>
                <w:rFonts w:ascii="Arial" w:hAnsi="Arial" w:cs="Arial"/>
                <w:sz w:val="24"/>
              </w:rPr>
            </w:pPr>
            <w:r w:rsidRPr="005E27D2">
              <w:rPr>
                <w:rFonts w:ascii="Century Gothic" w:eastAsiaTheme="minorHAnsi" w:hAnsi="Century Gothic" w:cs="Arial"/>
              </w:rPr>
              <w:t>This was</w:t>
            </w:r>
            <w:r>
              <w:rPr>
                <w:rFonts w:ascii="Century Gothic" w:eastAsiaTheme="minorHAnsi" w:hAnsi="Century Gothic" w:cs="Arial"/>
              </w:rPr>
              <w:t xml:space="preserve"> discussed at the </w:t>
            </w:r>
            <w:r w:rsidRPr="005E27D2">
              <w:rPr>
                <w:rFonts w:ascii="Century Gothic" w:eastAsiaTheme="minorHAnsi" w:hAnsi="Century Gothic" w:cs="Arial"/>
              </w:rPr>
              <w:t xml:space="preserve">Practice meeting </w:t>
            </w:r>
            <w:r>
              <w:rPr>
                <w:rFonts w:ascii="Century Gothic" w:eastAsiaTheme="minorHAnsi" w:hAnsi="Century Gothic" w:cs="Arial"/>
              </w:rPr>
              <w:t xml:space="preserve">with the Partners and Management </w:t>
            </w:r>
            <w:r w:rsidRPr="005E27D2">
              <w:rPr>
                <w:rFonts w:ascii="Century Gothic" w:eastAsiaTheme="minorHAnsi" w:hAnsi="Century Gothic" w:cs="Arial"/>
              </w:rPr>
              <w:t xml:space="preserve">and </w:t>
            </w:r>
            <w:r>
              <w:rPr>
                <w:rFonts w:ascii="Century Gothic" w:eastAsiaTheme="minorHAnsi" w:hAnsi="Century Gothic" w:cs="Arial"/>
              </w:rPr>
              <w:t xml:space="preserve">it </w:t>
            </w:r>
            <w:r w:rsidRPr="005E27D2">
              <w:rPr>
                <w:rFonts w:ascii="Century Gothic" w:eastAsiaTheme="minorHAnsi" w:hAnsi="Century Gothic" w:cs="Arial"/>
              </w:rPr>
              <w:t>was</w:t>
            </w:r>
            <w:r>
              <w:rPr>
                <w:rFonts w:ascii="Century Gothic" w:eastAsiaTheme="minorHAnsi" w:hAnsi="Century Gothic" w:cs="Arial"/>
              </w:rPr>
              <w:t xml:space="preserve"> agreed to extend the notice for holiday requests for clinicians to 6 weeks to allow the future appointment clinics to be created 6 weeks forward. This was  </w:t>
            </w:r>
            <w:r w:rsidRPr="005E27D2">
              <w:rPr>
                <w:rFonts w:ascii="Century Gothic" w:eastAsiaTheme="minorHAnsi" w:hAnsi="Century Gothic" w:cs="Arial"/>
              </w:rPr>
              <w:t xml:space="preserve"> implemented in </w:t>
            </w:r>
            <w:r>
              <w:rPr>
                <w:rFonts w:ascii="Century Gothic" w:eastAsiaTheme="minorHAnsi" w:hAnsi="Century Gothic" w:cs="Arial"/>
              </w:rPr>
              <w:t>May</w:t>
            </w:r>
            <w:r w:rsidRPr="005E27D2">
              <w:rPr>
                <w:rFonts w:ascii="Century Gothic" w:eastAsiaTheme="minorHAnsi" w:hAnsi="Century Gothic" w:cs="Arial"/>
              </w:rPr>
              <w:t xml:space="preserve"> 2014.</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C16CDB"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r w:rsidR="00C16CDB">
              <w:rPr>
                <w:rFonts w:ascii="Arial" w:hAnsi="Arial" w:cs="Arial"/>
                <w:sz w:val="24"/>
              </w:rPr>
              <w:t xml:space="preserve"> </w:t>
            </w:r>
          </w:p>
          <w:p w:rsidR="00A75AE8" w:rsidRPr="002649FE" w:rsidRDefault="00C16CDB" w:rsidP="0064273B">
            <w:pPr>
              <w:pStyle w:val="Default"/>
              <w:tabs>
                <w:tab w:val="left" w:pos="142"/>
              </w:tabs>
              <w:rPr>
                <w:rFonts w:ascii="Arial" w:hAnsi="Arial" w:cs="Arial"/>
                <w:sz w:val="24"/>
              </w:rPr>
            </w:pPr>
            <w:r w:rsidRPr="002D38D9">
              <w:rPr>
                <w:rFonts w:ascii="Century Gothic" w:hAnsi="Century Gothic" w:cs="Arial"/>
                <w:sz w:val="22"/>
                <w:szCs w:val="22"/>
              </w:rPr>
              <w:t xml:space="preserve">More convenient for patients who want to book further ahead for reviews </w:t>
            </w:r>
            <w:proofErr w:type="spellStart"/>
            <w:r w:rsidRPr="002D38D9">
              <w:rPr>
                <w:rFonts w:ascii="Century Gothic" w:hAnsi="Century Gothic" w:cs="Arial"/>
                <w:sz w:val="22"/>
                <w:szCs w:val="22"/>
              </w:rPr>
              <w:t>etc</w:t>
            </w:r>
            <w:proofErr w:type="spellEnd"/>
            <w:r w:rsidRPr="002D38D9">
              <w:rPr>
                <w:rFonts w:ascii="Century Gothic" w:hAnsi="Century Gothic" w:cs="Arial"/>
                <w:sz w:val="22"/>
                <w:szCs w:val="22"/>
              </w:rPr>
              <w:t>, Information added to the Patient Information Leaflet and in the waiting room.</w:t>
            </w: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28575</wp:posOffset>
                </wp:positionH>
                <wp:positionV relativeFrom="paragraph">
                  <wp:posOffset>108585</wp:posOffset>
                </wp:positionV>
                <wp:extent cx="8905240" cy="480060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480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5FCF" w:rsidRDefault="00035FCF" w:rsidP="00A75AE8">
                            <w:pPr>
                              <w:rPr>
                                <w:rFonts w:ascii="Century Gothic" w:hAnsi="Century Gothic"/>
                              </w:rPr>
                            </w:pPr>
                            <w:r>
                              <w:rPr>
                                <w:rFonts w:ascii="Century Gothic" w:hAnsi="Century Gothic"/>
                              </w:rPr>
                              <w:t xml:space="preserve">In previous years the telephone system was highlighted for improvement to provide additional numbers and improved access to the practice.  </w:t>
                            </w:r>
                            <w:r w:rsidR="00846BFA">
                              <w:rPr>
                                <w:rFonts w:ascii="Century Gothic" w:hAnsi="Century Gothic"/>
                              </w:rPr>
                              <w:t xml:space="preserve">The new telephone system installed in 2013/2014 has helped deliver </w:t>
                            </w:r>
                            <w:r w:rsidR="00024B6B">
                              <w:rPr>
                                <w:rFonts w:ascii="Century Gothic" w:hAnsi="Century Gothic"/>
                              </w:rPr>
                              <w:t>improvements to service</w:t>
                            </w:r>
                            <w:r w:rsidR="00846BFA">
                              <w:rPr>
                                <w:rFonts w:ascii="Century Gothic" w:hAnsi="Century Gothic"/>
                              </w:rPr>
                              <w:t xml:space="preserve"> </w:t>
                            </w:r>
                            <w:r>
                              <w:rPr>
                                <w:rFonts w:ascii="Century Gothic" w:hAnsi="Century Gothic"/>
                              </w:rPr>
                              <w:t xml:space="preserve">and filter calls to correct departments. Also </w:t>
                            </w:r>
                            <w:r w:rsidR="00846BFA">
                              <w:rPr>
                                <w:rFonts w:ascii="Century Gothic" w:hAnsi="Century Gothic"/>
                              </w:rPr>
                              <w:t>increasing the staffing hours at reception</w:t>
                            </w:r>
                            <w:r>
                              <w:rPr>
                                <w:rFonts w:ascii="Century Gothic" w:hAnsi="Century Gothic"/>
                              </w:rPr>
                              <w:t xml:space="preserve"> has been beneficial</w:t>
                            </w:r>
                            <w:r w:rsidR="00024B6B">
                              <w:rPr>
                                <w:rFonts w:ascii="Century Gothic" w:hAnsi="Century Gothic"/>
                              </w:rPr>
                              <w:t>.</w:t>
                            </w:r>
                            <w:r w:rsidR="00846BFA">
                              <w:rPr>
                                <w:rFonts w:ascii="Century Gothic" w:hAnsi="Century Gothic"/>
                              </w:rPr>
                              <w:t xml:space="preserve"> Th</w:t>
                            </w:r>
                            <w:r w:rsidR="00024B6B">
                              <w:rPr>
                                <w:rFonts w:ascii="Century Gothic" w:hAnsi="Century Gothic"/>
                              </w:rPr>
                              <w:t xml:space="preserve">e ongoing promotion of online services has also </w:t>
                            </w:r>
                            <w:r w:rsidR="00846BFA">
                              <w:rPr>
                                <w:rFonts w:ascii="Century Gothic" w:hAnsi="Century Gothic"/>
                              </w:rPr>
                              <w:t>helped to relieve pressure on the telephone</w:t>
                            </w:r>
                            <w:r w:rsidR="00024B6B">
                              <w:rPr>
                                <w:rFonts w:ascii="Century Gothic" w:hAnsi="Century Gothic"/>
                              </w:rPr>
                              <w:t xml:space="preserve"> lines</w:t>
                            </w:r>
                            <w:r>
                              <w:rPr>
                                <w:rFonts w:ascii="Century Gothic" w:hAnsi="Century Gothic"/>
                              </w:rPr>
                              <w:t xml:space="preserve"> as a growing number of patients order repeat medication and book appointments online. </w:t>
                            </w:r>
                          </w:p>
                          <w:p w:rsidR="00DB0435" w:rsidRDefault="00DB0435" w:rsidP="00A75AE8">
                            <w:pPr>
                              <w:rPr>
                                <w:rFonts w:ascii="Century Gothic" w:hAnsi="Century Gothic"/>
                              </w:rPr>
                            </w:pPr>
                          </w:p>
                          <w:p w:rsidR="00A75AE8" w:rsidRDefault="00035FCF" w:rsidP="00A75AE8">
                            <w:pPr>
                              <w:rPr>
                                <w:rFonts w:ascii="Century Gothic" w:hAnsi="Century Gothic"/>
                              </w:rPr>
                            </w:pPr>
                            <w:r>
                              <w:rPr>
                                <w:rFonts w:ascii="Century Gothic" w:hAnsi="Century Gothic"/>
                              </w:rPr>
                              <w:t>Signage has also been a previous area for improvement</w:t>
                            </w:r>
                            <w:r w:rsidR="00450D9F">
                              <w:rPr>
                                <w:rFonts w:ascii="Century Gothic" w:hAnsi="Century Gothic"/>
                              </w:rPr>
                              <w:t xml:space="preserve"> and whilst the signs were changed they were gold lettering on dark blue and, on reflection, thought to be rather dark and difficult to read particularly in the winter months. T</w:t>
                            </w:r>
                            <w:r>
                              <w:rPr>
                                <w:rFonts w:ascii="Century Gothic" w:hAnsi="Century Gothic"/>
                              </w:rPr>
                              <w:t xml:space="preserve">he practice is currently replacing the signage at both sites with </w:t>
                            </w:r>
                            <w:r w:rsidR="00450D9F">
                              <w:rPr>
                                <w:rFonts w:ascii="Century Gothic" w:hAnsi="Century Gothic"/>
                              </w:rPr>
                              <w:t>a</w:t>
                            </w:r>
                            <w:r>
                              <w:rPr>
                                <w:rFonts w:ascii="Century Gothic" w:hAnsi="Century Gothic"/>
                              </w:rPr>
                              <w:t xml:space="preserve"> new live</w:t>
                            </w:r>
                            <w:r w:rsidR="00450D9F">
                              <w:rPr>
                                <w:rFonts w:ascii="Century Gothic" w:hAnsi="Century Gothic"/>
                              </w:rPr>
                              <w:t>ry, this has been designed with bright blue lettering on a white background giving greater visibility and to communicate more</w:t>
                            </w:r>
                            <w:r>
                              <w:rPr>
                                <w:rFonts w:ascii="Century Gothic" w:hAnsi="Century Gothic"/>
                              </w:rPr>
                              <w:t xml:space="preserve"> clear</w:t>
                            </w:r>
                            <w:r w:rsidR="00450D9F">
                              <w:rPr>
                                <w:rFonts w:ascii="Century Gothic" w:hAnsi="Century Gothic"/>
                              </w:rPr>
                              <w:t>ly that we are a GP surgery.</w:t>
                            </w:r>
                            <w:r>
                              <w:rPr>
                                <w:rFonts w:ascii="Century Gothic" w:hAnsi="Century Gothic"/>
                              </w:rPr>
                              <w:t xml:space="preserve"> </w:t>
                            </w:r>
                          </w:p>
                          <w:p w:rsidR="00DB0435" w:rsidRDefault="00DB0435" w:rsidP="00A75AE8">
                            <w:pPr>
                              <w:rPr>
                                <w:rFonts w:ascii="Century Gothic" w:hAnsi="Century Gothic"/>
                              </w:rPr>
                            </w:pPr>
                          </w:p>
                          <w:p w:rsidR="00450D9F" w:rsidRDefault="00450D9F" w:rsidP="00A75AE8">
                            <w:pPr>
                              <w:rPr>
                                <w:rFonts w:ascii="Century Gothic" w:hAnsi="Century Gothic"/>
                              </w:rPr>
                            </w:pPr>
                            <w:r>
                              <w:rPr>
                                <w:rFonts w:ascii="Century Gothic" w:hAnsi="Century Gothic"/>
                              </w:rPr>
                              <w:t xml:space="preserve">The practice did look into the possibility offering our dispensing patients a delivery service but due to the number of patients we dispense to and the costs involved this was not successfully implemented. </w:t>
                            </w:r>
                          </w:p>
                          <w:p w:rsidR="00DB0435" w:rsidRDefault="00DB0435" w:rsidP="00A75AE8">
                            <w:pPr>
                              <w:rPr>
                                <w:rFonts w:ascii="Century Gothic" w:hAnsi="Century Gothic"/>
                              </w:rPr>
                            </w:pPr>
                          </w:p>
                          <w:p w:rsidR="00DB0435" w:rsidRDefault="00DB0435" w:rsidP="00DB0435">
                            <w:pPr>
                              <w:spacing w:line="240" w:lineRule="auto"/>
                              <w:suppressOverlap/>
                              <w:rPr>
                                <w:rFonts w:ascii="Century Gothic" w:hAnsi="Century Gothic"/>
                                <w:color w:val="000000"/>
                              </w:rPr>
                            </w:pPr>
                            <w:r>
                              <w:rPr>
                                <w:rFonts w:ascii="Century Gothic" w:hAnsi="Century Gothic"/>
                                <w:color w:val="000000"/>
                              </w:rPr>
                              <w:t>In 2013/14 it was s</w:t>
                            </w:r>
                            <w:r w:rsidRPr="00DB0435">
                              <w:rPr>
                                <w:rFonts w:ascii="Century Gothic" w:hAnsi="Century Gothic"/>
                                <w:color w:val="000000"/>
                              </w:rPr>
                              <w:t>uggest</w:t>
                            </w:r>
                            <w:r>
                              <w:rPr>
                                <w:rFonts w:ascii="Century Gothic" w:hAnsi="Century Gothic"/>
                                <w:color w:val="000000"/>
                              </w:rPr>
                              <w:t>ed</w:t>
                            </w:r>
                            <w:r w:rsidRPr="00DB0435">
                              <w:rPr>
                                <w:rFonts w:ascii="Century Gothic" w:hAnsi="Century Gothic"/>
                                <w:color w:val="000000"/>
                              </w:rPr>
                              <w:t xml:space="preserve"> to TPP that the online access could provide information on date and time of any future reviews as a reminder for patients. The request </w:t>
                            </w:r>
                            <w:r>
                              <w:rPr>
                                <w:rFonts w:ascii="Century Gothic" w:hAnsi="Century Gothic"/>
                                <w:color w:val="000000"/>
                              </w:rPr>
                              <w:t>w</w:t>
                            </w:r>
                            <w:r w:rsidRPr="00DB0435">
                              <w:rPr>
                                <w:rFonts w:ascii="Century Gothic" w:hAnsi="Century Gothic"/>
                                <w:color w:val="000000"/>
                              </w:rPr>
                              <w:t>as submitted to TPP on 26 November 2014 and we await feedback.</w:t>
                            </w:r>
                          </w:p>
                          <w:p w:rsidR="00DB0435" w:rsidRPr="00DB0435" w:rsidRDefault="00DB0435" w:rsidP="00DB0435">
                            <w:pPr>
                              <w:spacing w:line="240" w:lineRule="auto"/>
                              <w:suppressOverlap/>
                              <w:rPr>
                                <w:rFonts w:ascii="Century Gothic" w:eastAsiaTheme="minorHAnsi" w:hAnsi="Century Gothic" w:cs="Arial"/>
                              </w:rPr>
                            </w:pPr>
                          </w:p>
                          <w:p w:rsidR="00DB0435" w:rsidRPr="00DB0435" w:rsidRDefault="00DB0435" w:rsidP="00DB0435">
                            <w:pPr>
                              <w:spacing w:line="240" w:lineRule="auto"/>
                              <w:suppressOverlap/>
                              <w:rPr>
                                <w:rFonts w:ascii="Century Gothic" w:eastAsiaTheme="minorHAnsi" w:hAnsi="Century Gothic" w:cs="Arial"/>
                              </w:rPr>
                            </w:pPr>
                            <w:r w:rsidRPr="00DB0435">
                              <w:rPr>
                                <w:rFonts w:ascii="Century Gothic" w:hAnsi="Century Gothic"/>
                                <w:color w:val="000000"/>
                              </w:rPr>
                              <w:t xml:space="preserve">Support the PRG in promoting good health and community spirit.  The first Walk to Improve Health was staged on 13 July 2014 and was enjoyable for those that were able to take </w:t>
                            </w:r>
                            <w:proofErr w:type="gramStart"/>
                            <w:r w:rsidRPr="00DB0435">
                              <w:rPr>
                                <w:rFonts w:ascii="Century Gothic" w:hAnsi="Century Gothic"/>
                                <w:color w:val="000000"/>
                              </w:rPr>
                              <w:t>part,</w:t>
                            </w:r>
                            <w:proofErr w:type="gramEnd"/>
                            <w:r w:rsidRPr="00DB0435">
                              <w:rPr>
                                <w:rFonts w:ascii="Century Gothic" w:hAnsi="Century Gothic"/>
                                <w:color w:val="000000"/>
                              </w:rPr>
                              <w:t xml:space="preserve"> another walk is planned for Spring 2015 with lunch at the Blacksmith’s Arms at the end of the walk. We held a Saturday Craft Club for the Charity Yarn Bombing on August Bank Holiday 2014, due to popular demand this event will be repeated in </w:t>
                            </w:r>
                            <w:proofErr w:type="gramStart"/>
                            <w:r w:rsidRPr="00DB0435">
                              <w:rPr>
                                <w:rFonts w:ascii="Century Gothic" w:hAnsi="Century Gothic"/>
                                <w:color w:val="000000"/>
                              </w:rPr>
                              <w:t>Summer</w:t>
                            </w:r>
                            <w:proofErr w:type="gramEnd"/>
                            <w:r w:rsidRPr="00DB0435">
                              <w:rPr>
                                <w:rFonts w:ascii="Century Gothic" w:hAnsi="Century Gothic"/>
                                <w:color w:val="000000"/>
                              </w:rPr>
                              <w:t xml:space="preserve"> 2015.</w:t>
                            </w:r>
                          </w:p>
                          <w:p w:rsidR="00DB0435" w:rsidRDefault="00DB0435" w:rsidP="00A75AE8">
                            <w:pPr>
                              <w:rPr>
                                <w:rFonts w:ascii="Century Gothic" w:hAnsi="Century Gothic"/>
                              </w:rPr>
                            </w:pPr>
                          </w:p>
                          <w:p w:rsidR="00450D9F" w:rsidRDefault="00450D9F" w:rsidP="00A75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55pt;width:701.2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" fillcolor="white [3201]" strokeweight=".5pt">
                <v:path arrowok="t"/>
                <v:textbox>
                  <w:txbxContent>
                    <w:p w:rsidR="00035FCF" w:rsidRDefault="00035FCF" w:rsidP="00A75AE8">
                      <w:pPr>
                        <w:rPr>
                          <w:rFonts w:ascii="Century Gothic" w:hAnsi="Century Gothic"/>
                        </w:rPr>
                      </w:pPr>
                      <w:r>
                        <w:rPr>
                          <w:rFonts w:ascii="Century Gothic" w:hAnsi="Century Gothic"/>
                        </w:rPr>
                        <w:t xml:space="preserve">In previous years the telephone system was highlighted for improvement to provide additional numbers and improved access to the practice.  </w:t>
                      </w:r>
                      <w:r w:rsidR="00846BFA">
                        <w:rPr>
                          <w:rFonts w:ascii="Century Gothic" w:hAnsi="Century Gothic"/>
                        </w:rPr>
                        <w:t xml:space="preserve">The new telephone system installed in 2013/2014 has helped deliver </w:t>
                      </w:r>
                      <w:r w:rsidR="00024B6B">
                        <w:rPr>
                          <w:rFonts w:ascii="Century Gothic" w:hAnsi="Century Gothic"/>
                        </w:rPr>
                        <w:t>improvements to service</w:t>
                      </w:r>
                      <w:r w:rsidR="00846BFA">
                        <w:rPr>
                          <w:rFonts w:ascii="Century Gothic" w:hAnsi="Century Gothic"/>
                        </w:rPr>
                        <w:t xml:space="preserve"> </w:t>
                      </w:r>
                      <w:r>
                        <w:rPr>
                          <w:rFonts w:ascii="Century Gothic" w:hAnsi="Century Gothic"/>
                        </w:rPr>
                        <w:t xml:space="preserve">and filter calls to correct departments. </w:t>
                      </w:r>
                      <w:r>
                        <w:rPr>
                          <w:rFonts w:ascii="Century Gothic" w:hAnsi="Century Gothic"/>
                        </w:rPr>
                        <w:t xml:space="preserve">Also </w:t>
                      </w:r>
                      <w:r w:rsidR="00846BFA">
                        <w:rPr>
                          <w:rFonts w:ascii="Century Gothic" w:hAnsi="Century Gothic"/>
                        </w:rPr>
                        <w:t>increasing the staffing hours at reception</w:t>
                      </w:r>
                      <w:r>
                        <w:rPr>
                          <w:rFonts w:ascii="Century Gothic" w:hAnsi="Century Gothic"/>
                        </w:rPr>
                        <w:t xml:space="preserve"> has been beneficial</w:t>
                      </w:r>
                      <w:r w:rsidR="00024B6B">
                        <w:rPr>
                          <w:rFonts w:ascii="Century Gothic" w:hAnsi="Century Gothic"/>
                        </w:rPr>
                        <w:t>.</w:t>
                      </w:r>
                      <w:r w:rsidR="00846BFA">
                        <w:rPr>
                          <w:rFonts w:ascii="Century Gothic" w:hAnsi="Century Gothic"/>
                        </w:rPr>
                        <w:t xml:space="preserve"> </w:t>
                      </w:r>
                      <w:r w:rsidR="00846BFA">
                        <w:rPr>
                          <w:rFonts w:ascii="Century Gothic" w:hAnsi="Century Gothic"/>
                        </w:rPr>
                        <w:t>Th</w:t>
                      </w:r>
                      <w:r w:rsidR="00024B6B">
                        <w:rPr>
                          <w:rFonts w:ascii="Century Gothic" w:hAnsi="Century Gothic"/>
                        </w:rPr>
                        <w:t xml:space="preserve">e ongoing promotion of online services has also </w:t>
                      </w:r>
                      <w:r w:rsidR="00846BFA">
                        <w:rPr>
                          <w:rFonts w:ascii="Century Gothic" w:hAnsi="Century Gothic"/>
                        </w:rPr>
                        <w:t>helped to relieve pressure on the telephone</w:t>
                      </w:r>
                      <w:r w:rsidR="00024B6B">
                        <w:rPr>
                          <w:rFonts w:ascii="Century Gothic" w:hAnsi="Century Gothic"/>
                        </w:rPr>
                        <w:t xml:space="preserve"> lines</w:t>
                      </w:r>
                      <w:r>
                        <w:rPr>
                          <w:rFonts w:ascii="Century Gothic" w:hAnsi="Century Gothic"/>
                        </w:rPr>
                        <w:t xml:space="preserve"> as a growing number of patients order repeat medication and book appointments online. </w:t>
                      </w:r>
                    </w:p>
                    <w:p w:rsidR="00DB0435" w:rsidRDefault="00DB0435" w:rsidP="00A75AE8">
                      <w:pPr>
                        <w:rPr>
                          <w:rFonts w:ascii="Century Gothic" w:hAnsi="Century Gothic"/>
                        </w:rPr>
                      </w:pPr>
                    </w:p>
                    <w:p w:rsidR="00A75AE8" w:rsidRDefault="00035FCF" w:rsidP="00A75AE8">
                      <w:pPr>
                        <w:rPr>
                          <w:rFonts w:ascii="Century Gothic" w:hAnsi="Century Gothic"/>
                        </w:rPr>
                      </w:pPr>
                      <w:r>
                        <w:rPr>
                          <w:rFonts w:ascii="Century Gothic" w:hAnsi="Century Gothic"/>
                        </w:rPr>
                        <w:t>Signage has also been a previous area for improvement</w:t>
                      </w:r>
                      <w:r w:rsidR="00450D9F">
                        <w:rPr>
                          <w:rFonts w:ascii="Century Gothic" w:hAnsi="Century Gothic"/>
                        </w:rPr>
                        <w:t xml:space="preserve"> and whilst the signs were changed they were gold lettering on dark blue and, on reflection, thought to be rather dark and difficult to read particularly in the winter months. T</w:t>
                      </w:r>
                      <w:r>
                        <w:rPr>
                          <w:rFonts w:ascii="Century Gothic" w:hAnsi="Century Gothic"/>
                        </w:rPr>
                        <w:t xml:space="preserve">he practice is currently replacing the signage at both sites with </w:t>
                      </w:r>
                      <w:r w:rsidR="00450D9F">
                        <w:rPr>
                          <w:rFonts w:ascii="Century Gothic" w:hAnsi="Century Gothic"/>
                        </w:rPr>
                        <w:t>a</w:t>
                      </w:r>
                      <w:r>
                        <w:rPr>
                          <w:rFonts w:ascii="Century Gothic" w:hAnsi="Century Gothic"/>
                        </w:rPr>
                        <w:t xml:space="preserve"> new live</w:t>
                      </w:r>
                      <w:r w:rsidR="00450D9F">
                        <w:rPr>
                          <w:rFonts w:ascii="Century Gothic" w:hAnsi="Century Gothic"/>
                        </w:rPr>
                        <w:t>ry, this has been designed with bright blue lettering on a white background giving greater visibility and to communicate more</w:t>
                      </w:r>
                      <w:r>
                        <w:rPr>
                          <w:rFonts w:ascii="Century Gothic" w:hAnsi="Century Gothic"/>
                        </w:rPr>
                        <w:t xml:space="preserve"> clear</w:t>
                      </w:r>
                      <w:r w:rsidR="00450D9F">
                        <w:rPr>
                          <w:rFonts w:ascii="Century Gothic" w:hAnsi="Century Gothic"/>
                        </w:rPr>
                        <w:t>ly that we are a GP surgery.</w:t>
                      </w:r>
                      <w:r>
                        <w:rPr>
                          <w:rFonts w:ascii="Century Gothic" w:hAnsi="Century Gothic"/>
                        </w:rPr>
                        <w:t xml:space="preserve"> </w:t>
                      </w:r>
                    </w:p>
                    <w:p w:rsidR="00DB0435" w:rsidRDefault="00DB0435" w:rsidP="00A75AE8">
                      <w:pPr>
                        <w:rPr>
                          <w:rFonts w:ascii="Century Gothic" w:hAnsi="Century Gothic"/>
                        </w:rPr>
                      </w:pPr>
                    </w:p>
                    <w:p w:rsidR="00450D9F" w:rsidRDefault="00450D9F" w:rsidP="00A75AE8">
                      <w:pPr>
                        <w:rPr>
                          <w:rFonts w:ascii="Century Gothic" w:hAnsi="Century Gothic"/>
                        </w:rPr>
                      </w:pPr>
                      <w:r>
                        <w:rPr>
                          <w:rFonts w:ascii="Century Gothic" w:hAnsi="Century Gothic"/>
                        </w:rPr>
                        <w:t xml:space="preserve">The practice did look into the possibility offering our dispensing patients a delivery service but due to the number of patients we dispense to and the costs involved this was not successfully implemented. </w:t>
                      </w:r>
                    </w:p>
                    <w:p w:rsidR="00DB0435" w:rsidRDefault="00DB0435" w:rsidP="00A75AE8">
                      <w:pPr>
                        <w:rPr>
                          <w:rFonts w:ascii="Century Gothic" w:hAnsi="Century Gothic"/>
                        </w:rPr>
                      </w:pPr>
                    </w:p>
                    <w:p w:rsidR="00DB0435" w:rsidRDefault="00DB0435" w:rsidP="00DB0435">
                      <w:pPr>
                        <w:spacing w:line="240" w:lineRule="auto"/>
                        <w:suppressOverlap/>
                        <w:rPr>
                          <w:rFonts w:ascii="Century Gothic" w:hAnsi="Century Gothic"/>
                          <w:color w:val="000000"/>
                        </w:rPr>
                      </w:pPr>
                      <w:r>
                        <w:rPr>
                          <w:rFonts w:ascii="Century Gothic" w:hAnsi="Century Gothic"/>
                          <w:color w:val="000000"/>
                        </w:rPr>
                        <w:t>In 2013/14 it was s</w:t>
                      </w:r>
                      <w:r w:rsidRPr="00DB0435">
                        <w:rPr>
                          <w:rFonts w:ascii="Century Gothic" w:hAnsi="Century Gothic"/>
                          <w:color w:val="000000"/>
                        </w:rPr>
                        <w:t>uggest</w:t>
                      </w:r>
                      <w:r>
                        <w:rPr>
                          <w:rFonts w:ascii="Century Gothic" w:hAnsi="Century Gothic"/>
                          <w:color w:val="000000"/>
                        </w:rPr>
                        <w:t>ed</w:t>
                      </w:r>
                      <w:r w:rsidRPr="00DB0435">
                        <w:rPr>
                          <w:rFonts w:ascii="Century Gothic" w:hAnsi="Century Gothic"/>
                          <w:color w:val="000000"/>
                        </w:rPr>
                        <w:t xml:space="preserve"> to TPP that the online access could provide information on date and time of any future reviews as a reminder for patients. The request </w:t>
                      </w:r>
                      <w:r>
                        <w:rPr>
                          <w:rFonts w:ascii="Century Gothic" w:hAnsi="Century Gothic"/>
                          <w:color w:val="000000"/>
                        </w:rPr>
                        <w:t>w</w:t>
                      </w:r>
                      <w:r w:rsidRPr="00DB0435">
                        <w:rPr>
                          <w:rFonts w:ascii="Century Gothic" w:hAnsi="Century Gothic"/>
                          <w:color w:val="000000"/>
                        </w:rPr>
                        <w:t>as submitted to TPP on 26 November 2014 and we await feedback.</w:t>
                      </w:r>
                    </w:p>
                    <w:p w:rsidR="00DB0435" w:rsidRPr="00DB0435" w:rsidRDefault="00DB0435" w:rsidP="00DB0435">
                      <w:pPr>
                        <w:spacing w:line="240" w:lineRule="auto"/>
                        <w:suppressOverlap/>
                        <w:rPr>
                          <w:rFonts w:ascii="Century Gothic" w:eastAsiaTheme="minorHAnsi" w:hAnsi="Century Gothic" w:cs="Arial"/>
                        </w:rPr>
                      </w:pPr>
                    </w:p>
                    <w:p w:rsidR="00DB0435" w:rsidRPr="00DB0435" w:rsidRDefault="00DB0435" w:rsidP="00DB0435">
                      <w:pPr>
                        <w:spacing w:line="240" w:lineRule="auto"/>
                        <w:suppressOverlap/>
                        <w:rPr>
                          <w:rFonts w:ascii="Century Gothic" w:eastAsiaTheme="minorHAnsi" w:hAnsi="Century Gothic" w:cs="Arial"/>
                        </w:rPr>
                      </w:pPr>
                      <w:r w:rsidRPr="00DB0435">
                        <w:rPr>
                          <w:rFonts w:ascii="Century Gothic" w:hAnsi="Century Gothic"/>
                          <w:color w:val="000000"/>
                        </w:rPr>
                        <w:t xml:space="preserve">Support the PRG in promoting good health and community spirit.  The first Walk to Improve Health was staged on 13 July 2014 and was enjoyable for those that were able to take </w:t>
                      </w:r>
                      <w:proofErr w:type="gramStart"/>
                      <w:r w:rsidRPr="00DB0435">
                        <w:rPr>
                          <w:rFonts w:ascii="Century Gothic" w:hAnsi="Century Gothic"/>
                          <w:color w:val="000000"/>
                        </w:rPr>
                        <w:t>part,</w:t>
                      </w:r>
                      <w:proofErr w:type="gramEnd"/>
                      <w:r w:rsidRPr="00DB0435">
                        <w:rPr>
                          <w:rFonts w:ascii="Century Gothic" w:hAnsi="Century Gothic"/>
                          <w:color w:val="000000"/>
                        </w:rPr>
                        <w:t xml:space="preserve"> another walk is planned for Spring 2015 with lunch at the Blacksmith’s Arms at the end of the walk. We held a Saturday Craft Club for the Charity Yarn Bombing on August Bank Holiday 2014, due to popular demand this event will be repeated in </w:t>
                      </w:r>
                      <w:proofErr w:type="gramStart"/>
                      <w:r w:rsidRPr="00DB0435">
                        <w:rPr>
                          <w:rFonts w:ascii="Century Gothic" w:hAnsi="Century Gothic"/>
                          <w:color w:val="000000"/>
                        </w:rPr>
                        <w:t>Summer</w:t>
                      </w:r>
                      <w:proofErr w:type="gramEnd"/>
                      <w:r w:rsidRPr="00DB0435">
                        <w:rPr>
                          <w:rFonts w:ascii="Century Gothic" w:hAnsi="Century Gothic"/>
                          <w:color w:val="000000"/>
                        </w:rPr>
                        <w:t xml:space="preserve"> 2015.</w:t>
                      </w:r>
                    </w:p>
                    <w:p w:rsidR="00DB0435" w:rsidRDefault="00DB0435" w:rsidP="00A75AE8">
                      <w:pPr>
                        <w:rPr>
                          <w:rFonts w:ascii="Century Gothic" w:hAnsi="Century Gothic"/>
                        </w:rPr>
                      </w:pPr>
                      <w:bookmarkStart w:id="1" w:name="_GoBack"/>
                      <w:bookmarkEnd w:id="1"/>
                    </w:p>
                    <w:p w:rsidR="00450D9F" w:rsidRDefault="00450D9F" w:rsidP="00A75AE8"/>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Report signed off by PPG: 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ED2FED">
              <w:rPr>
                <w:rFonts w:ascii="Arial" w:hAnsi="Arial" w:cs="Arial"/>
                <w:sz w:val="24"/>
              </w:rPr>
              <w:t>27/03/2015</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ED2FED"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r w:rsidR="00BA584C">
              <w:rPr>
                <w:rFonts w:ascii="Arial" w:hAnsi="Arial" w:cs="Arial"/>
                <w:sz w:val="24"/>
              </w:rPr>
              <w:t xml:space="preserve"> </w:t>
            </w:r>
          </w:p>
          <w:p w:rsidR="00A75AE8" w:rsidRPr="00ED2FED" w:rsidRDefault="00BA584C" w:rsidP="00A243E1">
            <w:pPr>
              <w:pStyle w:val="Default"/>
              <w:tabs>
                <w:tab w:val="left" w:pos="142"/>
              </w:tabs>
              <w:rPr>
                <w:rFonts w:ascii="Century Gothic" w:hAnsi="Century Gothic" w:cs="Arial"/>
                <w:sz w:val="22"/>
                <w:szCs w:val="22"/>
              </w:rPr>
            </w:pPr>
            <w:r w:rsidRPr="00ED2FED">
              <w:rPr>
                <w:rFonts w:ascii="Century Gothic" w:hAnsi="Century Gothic" w:cs="Arial"/>
                <w:sz w:val="22"/>
                <w:szCs w:val="22"/>
              </w:rPr>
              <w:t>Quarterly Meetings</w:t>
            </w:r>
            <w:r w:rsidR="00ED2FED" w:rsidRPr="00ED2FED">
              <w:rPr>
                <w:rFonts w:ascii="Century Gothic" w:hAnsi="Century Gothic" w:cs="Arial"/>
                <w:sz w:val="22"/>
                <w:szCs w:val="22"/>
              </w:rPr>
              <w:t xml:space="preserve"> held at the practice, attended by Management, staff and clinicians.</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AB497D" w:rsidRDefault="00AB497D" w:rsidP="00A243E1">
            <w:pPr>
              <w:pStyle w:val="Default"/>
              <w:tabs>
                <w:tab w:val="left" w:pos="142"/>
              </w:tabs>
              <w:rPr>
                <w:rFonts w:ascii="Century Gothic" w:hAnsi="Century Gothic" w:cs="Arial"/>
                <w:sz w:val="22"/>
                <w:szCs w:val="22"/>
              </w:rPr>
            </w:pPr>
            <w:r w:rsidRPr="00AB497D">
              <w:rPr>
                <w:rFonts w:ascii="Century Gothic" w:hAnsi="Century Gothic" w:cs="Arial"/>
                <w:sz w:val="22"/>
                <w:szCs w:val="22"/>
              </w:rPr>
              <w:t xml:space="preserve">One member is a representative of a local Diabetes UK group, another member worked in the Mental Health sector. The Chair is from an educational background and prior to retirement in June 2014 was teaching children who had been placed outside mainstream </w:t>
            </w:r>
            <w:r w:rsidR="00BA584C">
              <w:rPr>
                <w:rFonts w:ascii="Century Gothic" w:hAnsi="Century Gothic" w:cs="Arial"/>
                <w:sz w:val="22"/>
                <w:szCs w:val="22"/>
              </w:rPr>
              <w:t>education. He has recently become a Dementia Champion and will be promoting awareness</w:t>
            </w:r>
            <w:r w:rsidRPr="00AB497D">
              <w:rPr>
                <w:rFonts w:ascii="Century Gothic" w:hAnsi="Century Gothic" w:cs="Arial"/>
                <w:sz w:val="22"/>
                <w:szCs w:val="22"/>
              </w:rPr>
              <w:t>.</w:t>
            </w:r>
          </w:p>
          <w:p w:rsidR="00ED2FED"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BA584C">
              <w:rPr>
                <w:rFonts w:ascii="Arial" w:hAnsi="Arial" w:cs="Arial"/>
                <w:sz w:val="24"/>
              </w:rPr>
              <w:t xml:space="preserve"> </w:t>
            </w:r>
          </w:p>
          <w:p w:rsidR="00A75AE8" w:rsidRPr="00ED2FED" w:rsidRDefault="00BA584C" w:rsidP="00A243E1">
            <w:pPr>
              <w:pStyle w:val="Default"/>
              <w:tabs>
                <w:tab w:val="left" w:pos="142"/>
              </w:tabs>
              <w:rPr>
                <w:rFonts w:ascii="Century Gothic" w:hAnsi="Century Gothic" w:cs="Arial"/>
                <w:sz w:val="22"/>
                <w:szCs w:val="22"/>
              </w:rPr>
            </w:pPr>
            <w:r w:rsidRPr="00ED2FED">
              <w:rPr>
                <w:rFonts w:ascii="Century Gothic" w:hAnsi="Century Gothic" w:cs="Arial"/>
                <w:sz w:val="22"/>
                <w:szCs w:val="22"/>
              </w:rPr>
              <w:t>Yes</w:t>
            </w:r>
          </w:p>
          <w:p w:rsidR="00ED2FED"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ED2FED">
              <w:rPr>
                <w:rFonts w:ascii="Arial" w:hAnsi="Arial" w:cs="Arial"/>
                <w:sz w:val="24"/>
              </w:rPr>
              <w:t xml:space="preserve"> </w:t>
            </w:r>
          </w:p>
          <w:p w:rsidR="00A75AE8" w:rsidRPr="00ED2FED" w:rsidRDefault="00ED2FED" w:rsidP="00A243E1">
            <w:pPr>
              <w:pStyle w:val="Default"/>
              <w:tabs>
                <w:tab w:val="left" w:pos="142"/>
              </w:tabs>
              <w:rPr>
                <w:rFonts w:ascii="Century Gothic" w:hAnsi="Century Gothic" w:cs="Arial"/>
                <w:sz w:val="22"/>
                <w:szCs w:val="22"/>
              </w:rPr>
            </w:pPr>
            <w:r w:rsidRPr="00ED2FED">
              <w:rPr>
                <w:rFonts w:ascii="Century Gothic" w:hAnsi="Century Gothic" w:cs="Arial"/>
                <w:sz w:val="22"/>
                <w:szCs w:val="22"/>
              </w:rPr>
              <w:t>Yes, all areas discussed at the PRG meetings.</w:t>
            </w: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ED2FED" w:rsidRPr="00ED2FED" w:rsidRDefault="008F6459" w:rsidP="00ED2FED">
            <w:pPr>
              <w:pStyle w:val="Default"/>
              <w:tabs>
                <w:tab w:val="left" w:pos="142"/>
              </w:tabs>
              <w:rPr>
                <w:rFonts w:ascii="Century Gothic" w:hAnsi="Century Gothic" w:cs="Arial"/>
                <w:sz w:val="22"/>
                <w:szCs w:val="22"/>
              </w:rPr>
            </w:pPr>
            <w:r>
              <w:rPr>
                <w:rFonts w:ascii="Century Gothic" w:hAnsi="Century Gothic" w:cs="Arial"/>
                <w:sz w:val="22"/>
                <w:szCs w:val="22"/>
              </w:rPr>
              <w:t>O</w:t>
            </w:r>
            <w:r w:rsidR="00ED2FED">
              <w:rPr>
                <w:rFonts w:ascii="Century Gothic" w:hAnsi="Century Gothic" w:cs="Arial"/>
                <w:sz w:val="22"/>
                <w:szCs w:val="22"/>
              </w:rPr>
              <w:t>nline access has provided easier access to repeat prescriptions and appointments</w:t>
            </w:r>
            <w:r w:rsidR="00ED2FED" w:rsidRPr="00ED2FED">
              <w:rPr>
                <w:rFonts w:ascii="Century Gothic" w:hAnsi="Century Gothic" w:cs="Arial"/>
                <w:sz w:val="22"/>
                <w:szCs w:val="22"/>
              </w:rPr>
              <w:t>.</w:t>
            </w:r>
            <w:r>
              <w:rPr>
                <w:rFonts w:ascii="Century Gothic" w:hAnsi="Century Gothic" w:cs="Arial"/>
                <w:sz w:val="22"/>
                <w:szCs w:val="22"/>
              </w:rPr>
              <w:t xml:space="preserve"> Improved management of chronic diseases has reduced attendances required. Ability to book 6 weeks in advance has enabled improved time management for patients. </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Default="00556F87" w:rsidP="00A243E1">
            <w:pPr>
              <w:pStyle w:val="Default"/>
              <w:tabs>
                <w:tab w:val="left" w:pos="142"/>
              </w:tabs>
              <w:rPr>
                <w:rFonts w:ascii="Century Gothic" w:hAnsi="Century Gothic" w:cs="Arial"/>
                <w:sz w:val="22"/>
                <w:szCs w:val="22"/>
              </w:rPr>
            </w:pPr>
            <w:r>
              <w:rPr>
                <w:rFonts w:ascii="Century Gothic" w:hAnsi="Century Gothic" w:cs="Arial"/>
                <w:sz w:val="22"/>
                <w:szCs w:val="22"/>
              </w:rPr>
              <w:t>The PRG is committed to finding new and different ways of engaging with patients and the local community.</w:t>
            </w:r>
          </w:p>
          <w:p w:rsidR="00556F87" w:rsidRPr="00556F87" w:rsidRDefault="00556F87" w:rsidP="00A243E1">
            <w:pPr>
              <w:pStyle w:val="Default"/>
              <w:tabs>
                <w:tab w:val="left" w:pos="142"/>
              </w:tabs>
              <w:rPr>
                <w:rFonts w:ascii="Century Gothic" w:hAnsi="Century Gothic" w:cs="Arial"/>
                <w:sz w:val="22"/>
                <w:szCs w:val="22"/>
              </w:rPr>
            </w:pPr>
            <w:bookmarkStart w:id="0" w:name="_GoBack"/>
            <w:bookmarkEnd w:id="0"/>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B540C6"/>
    <w:multiLevelType w:val="hybridMultilevel"/>
    <w:tmpl w:val="892E3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AA6479"/>
    <w:multiLevelType w:val="hybridMultilevel"/>
    <w:tmpl w:val="892E3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24B6B"/>
    <w:rsid w:val="00035FCF"/>
    <w:rsid w:val="000C6DB7"/>
    <w:rsid w:val="00135DAD"/>
    <w:rsid w:val="00262EFE"/>
    <w:rsid w:val="002649FE"/>
    <w:rsid w:val="002D38D9"/>
    <w:rsid w:val="003A2A81"/>
    <w:rsid w:val="003C28EC"/>
    <w:rsid w:val="003E33D7"/>
    <w:rsid w:val="00450D9F"/>
    <w:rsid w:val="0049110D"/>
    <w:rsid w:val="00556F87"/>
    <w:rsid w:val="00585596"/>
    <w:rsid w:val="005E27D2"/>
    <w:rsid w:val="0064273B"/>
    <w:rsid w:val="00675101"/>
    <w:rsid w:val="007D1627"/>
    <w:rsid w:val="007E7D2C"/>
    <w:rsid w:val="00846BFA"/>
    <w:rsid w:val="008F6459"/>
    <w:rsid w:val="00902C10"/>
    <w:rsid w:val="009228D7"/>
    <w:rsid w:val="00931927"/>
    <w:rsid w:val="00986681"/>
    <w:rsid w:val="00A64080"/>
    <w:rsid w:val="00A75AE8"/>
    <w:rsid w:val="00AA13FA"/>
    <w:rsid w:val="00AB497D"/>
    <w:rsid w:val="00AC4CB7"/>
    <w:rsid w:val="00B82D8E"/>
    <w:rsid w:val="00BA584C"/>
    <w:rsid w:val="00C16CDB"/>
    <w:rsid w:val="00D0544F"/>
    <w:rsid w:val="00DB0435"/>
    <w:rsid w:val="00DF6020"/>
    <w:rsid w:val="00EB7546"/>
    <w:rsid w:val="00ED2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556F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F8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556F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F8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schemas.microsoft.com/sharepoint/v3"/>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User</cp:lastModifiedBy>
  <cp:revision>2</cp:revision>
  <cp:lastPrinted>2015-03-27T12:30:00Z</cp:lastPrinted>
  <dcterms:created xsi:type="dcterms:W3CDTF">2015-03-27T13:48:00Z</dcterms:created>
  <dcterms:modified xsi:type="dcterms:W3CDTF">2015-03-27T13:48:00Z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